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方正小标宋简体" w:hAnsi="方正小标宋简体" w:eastAsia="方正小标宋简体"/>
          <w:b/>
          <w:sz w:val="44"/>
          <w:szCs w:val="44"/>
        </w:rPr>
      </w:pPr>
      <w:r>
        <w:rPr>
          <w:rFonts w:hint="eastAsia" w:ascii="方正小标宋简体" w:hAnsi="方正小标宋简体" w:eastAsia="方正小标宋简体"/>
          <w:b/>
          <w:sz w:val="44"/>
          <w:szCs w:val="44"/>
        </w:rPr>
        <w:t>同济大学铁道与城市轨道交通研究院研究生</w:t>
      </w:r>
    </w:p>
    <w:p>
      <w:pPr>
        <w:spacing w:line="360" w:lineRule="auto"/>
        <w:jc w:val="center"/>
        <w:rPr>
          <w:rFonts w:ascii="方正小标宋简体" w:hAnsi="方正小标宋简体" w:eastAsia="方正小标宋简体"/>
          <w:b/>
          <w:sz w:val="44"/>
          <w:szCs w:val="44"/>
        </w:rPr>
      </w:pPr>
      <w:r>
        <w:rPr>
          <w:rFonts w:hint="eastAsia" w:ascii="方正小标宋简体" w:hAnsi="方正小标宋简体" w:eastAsia="方正小标宋简体"/>
          <w:b/>
          <w:sz w:val="44"/>
          <w:szCs w:val="44"/>
        </w:rPr>
        <w:t>奖学金评定细则</w:t>
      </w:r>
    </w:p>
    <w:p>
      <w:pPr>
        <w:spacing w:line="360" w:lineRule="auto"/>
        <w:rPr>
          <w:rFonts w:asciiTheme="minorEastAsia" w:hAnsiTheme="minorEastAsia" w:eastAsiaTheme="minorEastAsia"/>
          <w:b/>
          <w:sz w:val="24"/>
        </w:rPr>
      </w:pPr>
    </w:p>
    <w:p>
      <w:pPr>
        <w:adjustRightInd w:val="0"/>
        <w:snapToGrid w:val="0"/>
        <w:spacing w:line="544" w:lineRule="exact"/>
        <w:ind w:firstLine="643" w:firstLineChars="200"/>
        <w:rPr>
          <w:rFonts w:ascii="仿宋_GB2312" w:hAnsi="仿宋_GB2312" w:eastAsia="仿宋_GB2312"/>
          <w:b/>
          <w:sz w:val="32"/>
          <w:szCs w:val="32"/>
        </w:rPr>
      </w:pPr>
      <w:r>
        <w:rPr>
          <w:rFonts w:hint="eastAsia" w:ascii="仿宋_GB2312" w:hAnsi="仿宋_GB2312" w:eastAsia="仿宋_GB2312"/>
          <w:b/>
          <w:sz w:val="32"/>
          <w:szCs w:val="32"/>
        </w:rPr>
        <w:t>第一条  总  则</w:t>
      </w:r>
    </w:p>
    <w:p>
      <w:pPr>
        <w:widowControl/>
        <w:adjustRightInd w:val="0"/>
        <w:snapToGrid w:val="0"/>
        <w:spacing w:line="544" w:lineRule="exact"/>
        <w:ind w:firstLine="640" w:firstLineChars="200"/>
        <w:rPr>
          <w:rFonts w:ascii="仿宋_GB2312" w:hAnsi="仿宋_GB2312" w:eastAsia="仿宋_GB2312"/>
          <w:sz w:val="32"/>
          <w:szCs w:val="32"/>
        </w:rPr>
      </w:pPr>
      <w:r>
        <w:rPr>
          <w:rFonts w:hint="eastAsia" w:ascii="仿宋_GB2312" w:hAnsi="仿宋_GB2312" w:eastAsia="仿宋_GB2312"/>
          <w:sz w:val="32"/>
          <w:szCs w:val="32"/>
        </w:rPr>
        <w:t>为了激励研究生勤奋学习，刻苦钻研，积极进取，促进研究生全面发展，根据</w:t>
      </w:r>
      <w:r>
        <w:rPr>
          <w:rFonts w:hint="eastAsia" w:ascii="仿宋_GB2312" w:hAnsi="仿宋_GB2312" w:eastAsia="仿宋_GB2312" w:cs="Arial"/>
          <w:kern w:val="0"/>
          <w:sz w:val="32"/>
          <w:szCs w:val="32"/>
        </w:rPr>
        <w:t>《同济大学研究生奖励管理办法》</w:t>
      </w:r>
      <w:r>
        <w:rPr>
          <w:rFonts w:hint="eastAsia" w:ascii="仿宋_GB2312" w:hAnsi="仿宋_GB2312" w:eastAsia="仿宋_GB2312"/>
          <w:sz w:val="32"/>
          <w:szCs w:val="32"/>
        </w:rPr>
        <w:t>（同济学〔2018〕58号）、《同济大学研究生国家奖学金评定细则》（同济学〔2018〕59号）、</w:t>
      </w:r>
      <w:r>
        <w:rPr>
          <w:rFonts w:hint="eastAsia" w:ascii="仿宋_GB2312" w:hAnsi="仿宋_GB2312" w:eastAsia="仿宋_GB2312" w:cs="Arial"/>
          <w:kern w:val="0"/>
          <w:sz w:val="32"/>
          <w:szCs w:val="32"/>
        </w:rPr>
        <w:t>《同济大学研究生优秀学生奖学金评定细则》</w:t>
      </w:r>
      <w:r>
        <w:rPr>
          <w:rFonts w:hint="eastAsia" w:ascii="仿宋_GB2312" w:hAnsi="仿宋_GB2312" w:eastAsia="仿宋_GB2312"/>
          <w:sz w:val="32"/>
          <w:szCs w:val="32"/>
        </w:rPr>
        <w:t>（同济学〔2018〕6</w:t>
      </w:r>
      <w:r>
        <w:rPr>
          <w:rFonts w:ascii="仿宋_GB2312" w:hAnsi="仿宋_GB2312" w:eastAsia="仿宋_GB2312"/>
          <w:sz w:val="32"/>
          <w:szCs w:val="32"/>
        </w:rPr>
        <w:t>0</w:t>
      </w:r>
      <w:r>
        <w:rPr>
          <w:rFonts w:hint="eastAsia" w:ascii="仿宋_GB2312" w:hAnsi="仿宋_GB2312" w:eastAsia="仿宋_GB2312"/>
          <w:sz w:val="32"/>
          <w:szCs w:val="32"/>
        </w:rPr>
        <w:t>号）、</w:t>
      </w:r>
      <w:r>
        <w:rPr>
          <w:rFonts w:hint="eastAsia" w:ascii="仿宋_GB2312" w:hAnsi="仿宋_GB2312" w:eastAsia="仿宋_GB2312" w:cs="Arial"/>
          <w:kern w:val="0"/>
          <w:sz w:val="32"/>
          <w:szCs w:val="32"/>
        </w:rPr>
        <w:t>《同济大学研究生特色奖学金评定细则》</w:t>
      </w:r>
      <w:r>
        <w:rPr>
          <w:rFonts w:hint="eastAsia" w:ascii="仿宋_GB2312" w:hAnsi="仿宋_GB2312" w:eastAsia="仿宋_GB2312"/>
          <w:sz w:val="32"/>
          <w:szCs w:val="32"/>
        </w:rPr>
        <w:t>（同济学〔2018〕6</w:t>
      </w:r>
      <w:r>
        <w:rPr>
          <w:rFonts w:ascii="仿宋_GB2312" w:hAnsi="仿宋_GB2312" w:eastAsia="仿宋_GB2312"/>
          <w:sz w:val="32"/>
          <w:szCs w:val="32"/>
        </w:rPr>
        <w:t>1</w:t>
      </w:r>
      <w:r>
        <w:rPr>
          <w:rFonts w:hint="eastAsia" w:ascii="仿宋_GB2312" w:hAnsi="仿宋_GB2312" w:eastAsia="仿宋_GB2312"/>
          <w:sz w:val="32"/>
          <w:szCs w:val="32"/>
        </w:rPr>
        <w:t>号）等文件有关规定，结合我院实际情况，特制定本细则。</w:t>
      </w:r>
    </w:p>
    <w:p>
      <w:pPr>
        <w:adjustRightInd w:val="0"/>
        <w:snapToGrid w:val="0"/>
        <w:spacing w:line="544" w:lineRule="exact"/>
        <w:ind w:firstLine="643" w:firstLineChars="200"/>
        <w:rPr>
          <w:rFonts w:ascii="仿宋_GB2312" w:hAnsi="仿宋_GB2312" w:eastAsia="仿宋_GB2312"/>
          <w:b/>
          <w:sz w:val="32"/>
          <w:szCs w:val="32"/>
        </w:rPr>
      </w:pPr>
      <w:r>
        <w:rPr>
          <w:rFonts w:hint="eastAsia" w:ascii="仿宋_GB2312" w:hAnsi="仿宋_GB2312" w:eastAsia="仿宋_GB2312"/>
          <w:b/>
          <w:sz w:val="32"/>
          <w:szCs w:val="32"/>
        </w:rPr>
        <w:t>第二条  奖励对象</w:t>
      </w:r>
    </w:p>
    <w:p>
      <w:pPr>
        <w:adjustRightInd w:val="0"/>
        <w:snapToGrid w:val="0"/>
        <w:spacing w:line="544" w:lineRule="exact"/>
        <w:ind w:firstLine="640" w:firstLineChars="200"/>
        <w:rPr>
          <w:rFonts w:ascii="仿宋_GB2312" w:hAnsi="仿宋_GB2312" w:eastAsia="仿宋_GB2312" w:cs="Arial"/>
          <w:kern w:val="0"/>
          <w:sz w:val="32"/>
          <w:szCs w:val="32"/>
        </w:rPr>
      </w:pPr>
      <w:r>
        <w:rPr>
          <w:rFonts w:hint="eastAsia" w:ascii="仿宋_GB2312" w:hAnsi="仿宋_GB2312" w:eastAsia="仿宋_GB2312" w:cs="Arial"/>
          <w:kern w:val="0"/>
          <w:sz w:val="32"/>
          <w:szCs w:val="32"/>
        </w:rPr>
        <w:t>1.研究生奖学金的奖励对象为在我院就读的具有中华人民共和国国籍且纳入全国研究生招生计划的全日制（全脱产学习）研究生，</w:t>
      </w:r>
      <w:r>
        <w:rPr>
          <w:rFonts w:ascii="仿宋_GB2312" w:hAnsi="仿宋_GB2312" w:eastAsia="仿宋_GB2312"/>
          <w:sz w:val="32"/>
          <w:szCs w:val="32"/>
        </w:rPr>
        <w:t>除特别说明外，一般为以下各类研究生：</w:t>
      </w:r>
      <w:r>
        <w:rPr>
          <w:rFonts w:hint="eastAsia" w:ascii="仿宋_GB2312" w:hAnsi="仿宋_GB2312" w:eastAsia="仿宋_GB2312" w:cs="Arial"/>
          <w:kern w:val="0"/>
          <w:sz w:val="32"/>
          <w:szCs w:val="32"/>
        </w:rPr>
        <w:t>非定向学术型硕士研究生，非定向专业学位硕士研究生，非定向学术型博士研究生，非定向专业学位博士研究生，以及非在职的少数民族高层次骨干人才计划研究生。</w:t>
      </w:r>
    </w:p>
    <w:p>
      <w:pPr>
        <w:adjustRightInd w:val="0"/>
        <w:snapToGrid w:val="0"/>
        <w:spacing w:line="544" w:lineRule="exact"/>
        <w:ind w:firstLine="640" w:firstLineChars="200"/>
        <w:rPr>
          <w:rFonts w:ascii="仿宋_GB2312" w:hAnsi="仿宋_GB2312" w:eastAsia="仿宋_GB2312" w:cs="Arial"/>
          <w:kern w:val="0"/>
          <w:sz w:val="32"/>
          <w:szCs w:val="32"/>
        </w:rPr>
      </w:pPr>
      <w:r>
        <w:rPr>
          <w:rFonts w:hint="eastAsia" w:ascii="仿宋_GB2312" w:hAnsi="仿宋_GB2312" w:eastAsia="仿宋_GB2312" w:cs="Arial"/>
          <w:kern w:val="0"/>
          <w:sz w:val="32"/>
          <w:szCs w:val="32"/>
        </w:rPr>
        <w:t>2.</w:t>
      </w:r>
      <w:r>
        <w:rPr>
          <w:rFonts w:ascii="仿宋_GB2312" w:hAnsi="仿宋_GB2312" w:eastAsia="仿宋_GB2312" w:cs="Arial"/>
          <w:kern w:val="0"/>
          <w:sz w:val="32"/>
          <w:szCs w:val="32"/>
        </w:rPr>
        <w:t>在规定学制内的研究生，因国家和单位公派出国留学或校际交流在境外学习的，仍具备研究生奖学金参评资格；由于因私出国留学、疾病、创业等未在校学习的，在此期间原则上不具备研究生奖学金参评资格。当年毕业的研究生，不再具备申请研究生奖学金资格。超出学制的研究生，原则上不再具备研究生国家奖学金参评资格</w:t>
      </w:r>
      <w:r>
        <w:rPr>
          <w:rFonts w:hint="eastAsia" w:ascii="仿宋_GB2312" w:hAnsi="仿宋_GB2312" w:eastAsia="仿宋_GB2312" w:cs="Arial"/>
          <w:kern w:val="0"/>
          <w:sz w:val="32"/>
          <w:szCs w:val="32"/>
        </w:rPr>
        <w:t>；</w:t>
      </w:r>
      <w:r>
        <w:rPr>
          <w:rFonts w:ascii="仿宋_GB2312" w:hAnsi="仿宋_GB2312" w:eastAsia="仿宋_GB2312"/>
          <w:sz w:val="32"/>
          <w:szCs w:val="32"/>
        </w:rPr>
        <w:t>除2018级之前入学的博士研究生可在原学制后适当延长一年参评外，其他超学制学生原则上不再具备</w:t>
      </w:r>
      <w:r>
        <w:rPr>
          <w:rFonts w:hint="eastAsia" w:ascii="仿宋_GB2312" w:hAnsi="仿宋_GB2312" w:eastAsia="仿宋_GB2312"/>
          <w:sz w:val="32"/>
          <w:szCs w:val="32"/>
        </w:rPr>
        <w:t>校级</w:t>
      </w:r>
      <w:r>
        <w:rPr>
          <w:rFonts w:ascii="仿宋_GB2312" w:hAnsi="仿宋_GB2312" w:eastAsia="仿宋_GB2312"/>
          <w:sz w:val="32"/>
          <w:szCs w:val="32"/>
        </w:rPr>
        <w:t>研究生奖学金参评资格。</w:t>
      </w:r>
    </w:p>
    <w:p>
      <w:pPr>
        <w:adjustRightInd w:val="0"/>
        <w:snapToGrid w:val="0"/>
        <w:spacing w:line="544" w:lineRule="exact"/>
        <w:ind w:firstLine="640" w:firstLineChars="200"/>
        <w:rPr>
          <w:rFonts w:ascii="仿宋_GB2312" w:hAnsi="仿宋_GB2312" w:eastAsia="仿宋_GB2312" w:cs="Arial"/>
          <w:kern w:val="0"/>
          <w:sz w:val="32"/>
          <w:szCs w:val="32"/>
        </w:rPr>
      </w:pPr>
      <w:r>
        <w:rPr>
          <w:rFonts w:hint="eastAsia" w:ascii="仿宋_GB2312" w:hAnsi="仿宋_GB2312" w:eastAsia="仿宋_GB2312" w:cs="Arial"/>
          <w:kern w:val="0"/>
          <w:sz w:val="32"/>
          <w:szCs w:val="32"/>
        </w:rPr>
        <w:t>3.硕博连读研究生在注册为博士研究生之前，或通过攻读博士学位资格考试前，按照硕士研究生身份申请；注册为博士研究生后，或通过攻读博士学位资格考试后，按照博士研究生身份申请；</w:t>
      </w:r>
      <w:r>
        <w:rPr>
          <w:rFonts w:ascii="仿宋_GB2312" w:hAnsi="仿宋_GB2312" w:eastAsia="仿宋_GB2312" w:cs="Arial"/>
          <w:kern w:val="0"/>
          <w:sz w:val="32"/>
          <w:szCs w:val="32"/>
        </w:rPr>
        <w:t>当年入学的</w:t>
      </w:r>
      <w:r>
        <w:rPr>
          <w:rFonts w:hint="eastAsia" w:ascii="仿宋_GB2312" w:hAnsi="仿宋_GB2312" w:eastAsia="仿宋_GB2312" w:cs="Arial"/>
          <w:kern w:val="0"/>
          <w:sz w:val="32"/>
          <w:szCs w:val="32"/>
        </w:rPr>
        <w:t>直博生按照博士研究生新生身份参与评定。</w:t>
      </w:r>
    </w:p>
    <w:p>
      <w:pPr>
        <w:adjustRightInd w:val="0"/>
        <w:snapToGrid w:val="0"/>
        <w:spacing w:line="544" w:lineRule="exact"/>
        <w:ind w:firstLine="643" w:firstLineChars="200"/>
        <w:rPr>
          <w:rFonts w:ascii="仿宋_GB2312" w:hAnsi="仿宋_GB2312" w:eastAsia="仿宋_GB2312"/>
          <w:b/>
          <w:sz w:val="32"/>
          <w:szCs w:val="32"/>
        </w:rPr>
      </w:pPr>
      <w:r>
        <w:rPr>
          <w:rFonts w:hint="eastAsia" w:ascii="仿宋_GB2312" w:hAnsi="仿宋_GB2312" w:eastAsia="仿宋_GB2312"/>
          <w:b/>
          <w:sz w:val="32"/>
          <w:szCs w:val="32"/>
        </w:rPr>
        <w:t>第三条  奖励标准与类别</w:t>
      </w:r>
    </w:p>
    <w:p>
      <w:pPr>
        <w:adjustRightInd w:val="0"/>
        <w:snapToGrid w:val="0"/>
        <w:spacing w:line="544" w:lineRule="exact"/>
        <w:ind w:firstLine="720" w:firstLineChars="225"/>
        <w:rPr>
          <w:rFonts w:ascii="仿宋_GB2312" w:hAnsi="仿宋_GB2312" w:eastAsia="仿宋_GB2312"/>
          <w:sz w:val="32"/>
          <w:szCs w:val="32"/>
        </w:rPr>
      </w:pPr>
      <w:r>
        <w:rPr>
          <w:rFonts w:ascii="仿宋_GB2312" w:hAnsi="仿宋_GB2312" w:eastAsia="仿宋_GB2312"/>
          <w:sz w:val="32"/>
          <w:szCs w:val="32"/>
        </w:rPr>
        <w:t>同济大学研究生奖学金</w:t>
      </w:r>
      <w:r>
        <w:rPr>
          <w:rFonts w:hint="eastAsia" w:ascii="仿宋_GB2312" w:hAnsi="仿宋_GB2312" w:eastAsia="仿宋_GB2312"/>
          <w:sz w:val="32"/>
          <w:szCs w:val="32"/>
        </w:rPr>
        <w:t>包括研究生国家奖学金、</w:t>
      </w:r>
      <w:r>
        <w:rPr>
          <w:rFonts w:ascii="仿宋_GB2312" w:hAnsi="仿宋_GB2312" w:eastAsia="仿宋_GB2312"/>
          <w:sz w:val="32"/>
          <w:szCs w:val="32"/>
        </w:rPr>
        <w:t>优秀博士生奖学金、优秀硕士生奖学金、研究生社会活动奖学金和校外捐赠冠名奖学金等。</w:t>
      </w:r>
    </w:p>
    <w:p>
      <w:pPr>
        <w:adjustRightInd w:val="0"/>
        <w:snapToGrid w:val="0"/>
        <w:spacing w:line="544" w:lineRule="exact"/>
        <w:ind w:firstLine="720" w:firstLineChars="225"/>
        <w:rPr>
          <w:rFonts w:ascii="仿宋_GB2312" w:hAnsi="仿宋_GB2312" w:eastAsia="仿宋_GB2312"/>
          <w:sz w:val="32"/>
          <w:szCs w:val="32"/>
        </w:rPr>
      </w:pPr>
      <w:r>
        <w:rPr>
          <w:rFonts w:ascii="仿宋_GB2312" w:hAnsi="仿宋_GB2312" w:eastAsia="仿宋_GB2312"/>
          <w:sz w:val="32"/>
          <w:szCs w:val="32"/>
        </w:rPr>
        <w:t>研究生国家奖学金的奖励标准由国家制定</w:t>
      </w:r>
      <w:r>
        <w:rPr>
          <w:rFonts w:hint="eastAsia" w:ascii="仿宋_GB2312" w:hAnsi="仿宋_GB2312" w:eastAsia="仿宋_GB2312"/>
          <w:sz w:val="32"/>
          <w:szCs w:val="32"/>
        </w:rPr>
        <w:t>，优秀博士生奖学金、</w:t>
      </w:r>
      <w:r>
        <w:rPr>
          <w:rFonts w:ascii="仿宋_GB2312" w:hAnsi="仿宋_GB2312" w:eastAsia="仿宋_GB2312"/>
          <w:sz w:val="32"/>
          <w:szCs w:val="32"/>
        </w:rPr>
        <w:t>秀硕士生奖学金、研究生社会活动奖学金</w:t>
      </w:r>
      <w:r>
        <w:rPr>
          <w:rFonts w:hint="eastAsia" w:ascii="仿宋_GB2312" w:hAnsi="仿宋_GB2312" w:eastAsia="仿宋_GB2312"/>
          <w:sz w:val="32"/>
          <w:szCs w:val="32"/>
        </w:rPr>
        <w:t>奖励标准由学校制定。</w:t>
      </w:r>
    </w:p>
    <w:p>
      <w:pPr>
        <w:adjustRightInd w:val="0"/>
        <w:snapToGrid w:val="0"/>
        <w:spacing w:line="544" w:lineRule="exact"/>
        <w:ind w:firstLine="720" w:firstLineChars="225"/>
        <w:rPr>
          <w:rFonts w:ascii="仿宋_GB2312" w:hAnsi="仿宋_GB2312" w:eastAsia="仿宋_GB2312"/>
          <w:sz w:val="32"/>
          <w:szCs w:val="32"/>
        </w:rPr>
      </w:pPr>
      <w:r>
        <w:rPr>
          <w:rFonts w:ascii="仿宋_GB2312" w:hAnsi="仿宋_GB2312" w:eastAsia="仿宋_GB2312"/>
          <w:sz w:val="32"/>
          <w:szCs w:val="32"/>
        </w:rPr>
        <w:t>校外捐赠冠名奖学金，有具体捐赠协议的根据捐赠协议执行，没有具体捐赠协议的参照《同济大学研究生奖励管理办法》执行</w:t>
      </w:r>
      <w:r>
        <w:rPr>
          <w:rFonts w:hint="eastAsia" w:ascii="仿宋_GB2312" w:hAnsi="仿宋_GB2312" w:eastAsia="仿宋_GB2312"/>
          <w:sz w:val="32"/>
          <w:szCs w:val="32"/>
        </w:rPr>
        <w:t>。</w:t>
      </w:r>
    </w:p>
    <w:p>
      <w:pPr>
        <w:adjustRightInd w:val="0"/>
        <w:snapToGrid w:val="0"/>
        <w:spacing w:line="544" w:lineRule="exact"/>
        <w:ind w:firstLine="643" w:firstLineChars="200"/>
        <w:rPr>
          <w:rFonts w:ascii="仿宋_GB2312" w:hAnsi="仿宋_GB2312" w:eastAsia="仿宋_GB2312"/>
          <w:b/>
          <w:sz w:val="32"/>
          <w:szCs w:val="32"/>
        </w:rPr>
      </w:pPr>
      <w:r>
        <w:rPr>
          <w:rFonts w:hint="eastAsia" w:ascii="仿宋_GB2312" w:hAnsi="仿宋_GB2312" w:eastAsia="仿宋_GB2312"/>
          <w:b/>
          <w:sz w:val="32"/>
          <w:szCs w:val="32"/>
        </w:rPr>
        <w:t>第四条 评奖条件</w:t>
      </w:r>
    </w:p>
    <w:p>
      <w:pPr>
        <w:adjustRightInd w:val="0"/>
        <w:snapToGrid w:val="0"/>
        <w:spacing w:line="544" w:lineRule="exact"/>
        <w:ind w:firstLine="640" w:firstLineChars="200"/>
        <w:rPr>
          <w:rFonts w:ascii="仿宋_GB2312" w:hAnsi="仿宋_GB2312" w:eastAsia="仿宋_GB2312"/>
          <w:sz w:val="32"/>
          <w:szCs w:val="32"/>
        </w:rPr>
      </w:pPr>
      <w:r>
        <w:rPr>
          <w:rFonts w:hint="eastAsia" w:ascii="仿宋_GB2312" w:hAnsi="仿宋_GB2312" w:eastAsia="仿宋_GB2312"/>
          <w:sz w:val="32"/>
          <w:szCs w:val="32"/>
        </w:rPr>
        <w:t>1.基本条件：</w:t>
      </w:r>
    </w:p>
    <w:p>
      <w:pPr>
        <w:adjustRightInd w:val="0"/>
        <w:snapToGrid w:val="0"/>
        <w:spacing w:line="544" w:lineRule="exact"/>
        <w:ind w:firstLine="640" w:firstLineChars="200"/>
        <w:rPr>
          <w:rFonts w:ascii="仿宋_GB2312" w:hAnsi="仿宋_GB2312" w:eastAsia="仿宋_GB2312"/>
          <w:sz w:val="32"/>
          <w:szCs w:val="32"/>
        </w:rPr>
      </w:pPr>
      <w:r>
        <w:rPr>
          <w:rFonts w:hint="eastAsia" w:ascii="仿宋_GB2312" w:hAnsi="仿宋_GB2312" w:eastAsia="仿宋_GB2312"/>
          <w:sz w:val="32"/>
          <w:szCs w:val="32"/>
        </w:rPr>
        <w:t>（1）热爱社会主义祖国，拥护中国共产党的路线、方针、政策，具有良好的政治素质和品德修养，积极践行社会主义核心价值观；</w:t>
      </w:r>
    </w:p>
    <w:p>
      <w:pPr>
        <w:adjustRightInd w:val="0"/>
        <w:snapToGrid w:val="0"/>
        <w:spacing w:line="544" w:lineRule="exact"/>
        <w:ind w:firstLine="640" w:firstLineChars="200"/>
        <w:rPr>
          <w:rFonts w:ascii="仿宋_GB2312" w:hAnsi="仿宋_GB2312" w:eastAsia="仿宋_GB2312"/>
          <w:sz w:val="32"/>
          <w:szCs w:val="32"/>
        </w:rPr>
      </w:pPr>
      <w:r>
        <w:rPr>
          <w:rFonts w:hint="eastAsia" w:ascii="仿宋_GB2312" w:hAnsi="仿宋_GB2312" w:eastAsia="仿宋_GB2312"/>
          <w:sz w:val="32"/>
          <w:szCs w:val="32"/>
        </w:rPr>
        <w:t>（2）遵守宪法和法律，遵守学校规章制度；</w:t>
      </w:r>
    </w:p>
    <w:p>
      <w:pPr>
        <w:adjustRightInd w:val="0"/>
        <w:snapToGrid w:val="0"/>
        <w:spacing w:line="544" w:lineRule="exact"/>
        <w:ind w:firstLine="640" w:firstLineChars="200"/>
        <w:rPr>
          <w:rFonts w:ascii="仿宋_GB2312" w:hAnsi="仿宋_GB2312" w:eastAsia="仿宋_GB2312"/>
          <w:sz w:val="32"/>
          <w:szCs w:val="32"/>
        </w:rPr>
      </w:pPr>
      <w:r>
        <w:rPr>
          <w:rFonts w:hint="eastAsia" w:ascii="仿宋_GB2312" w:hAnsi="仿宋_GB2312" w:eastAsia="仿宋_GB2312"/>
          <w:sz w:val="32"/>
          <w:szCs w:val="32"/>
        </w:rPr>
        <w:t>（3）诚实守信，道德品质优良；</w:t>
      </w:r>
    </w:p>
    <w:p>
      <w:pPr>
        <w:adjustRightInd w:val="0"/>
        <w:snapToGrid w:val="0"/>
        <w:spacing w:line="544" w:lineRule="exact"/>
        <w:ind w:firstLine="640" w:firstLineChars="200"/>
        <w:rPr>
          <w:rFonts w:ascii="仿宋_GB2312" w:hAnsi="仿宋_GB2312" w:eastAsia="仿宋_GB2312"/>
          <w:sz w:val="32"/>
          <w:szCs w:val="32"/>
        </w:rPr>
      </w:pPr>
      <w:r>
        <w:rPr>
          <w:rFonts w:hint="eastAsia" w:ascii="仿宋_GB2312" w:hAnsi="仿宋_GB2312" w:eastAsia="仿宋_GB2312"/>
          <w:sz w:val="32"/>
          <w:szCs w:val="32"/>
        </w:rPr>
        <w:t>2</w:t>
      </w:r>
      <w:r>
        <w:rPr>
          <w:rFonts w:ascii="仿宋_GB2312" w:hAnsi="仿宋_GB2312" w:eastAsia="仿宋_GB2312"/>
          <w:sz w:val="32"/>
          <w:szCs w:val="32"/>
        </w:rPr>
        <w:t>.</w:t>
      </w:r>
      <w:r>
        <w:rPr>
          <w:rFonts w:hint="eastAsia" w:ascii="仿宋_GB2312" w:hAnsi="仿宋_GB2312" w:eastAsia="仿宋_GB2312"/>
          <w:sz w:val="32"/>
          <w:szCs w:val="32"/>
        </w:rPr>
        <w:t>补充条件：</w:t>
      </w:r>
    </w:p>
    <w:p>
      <w:pPr>
        <w:adjustRightInd w:val="0"/>
        <w:snapToGrid w:val="0"/>
        <w:spacing w:line="544" w:lineRule="exact"/>
        <w:ind w:firstLine="640" w:firstLineChars="200"/>
        <w:rPr>
          <w:rFonts w:ascii="仿宋_GB2312" w:hAnsi="仿宋_GB2312" w:eastAsia="仿宋_GB2312"/>
          <w:sz w:val="32"/>
          <w:szCs w:val="32"/>
        </w:rPr>
      </w:pPr>
      <w:r>
        <w:rPr>
          <w:rFonts w:hint="eastAsia" w:ascii="仿宋_GB2312" w:hAnsi="仿宋_GB2312" w:eastAsia="仿宋_GB2312"/>
          <w:sz w:val="32"/>
          <w:szCs w:val="32"/>
        </w:rPr>
        <w:t>申请研究生国家奖学金、</w:t>
      </w:r>
      <w:r>
        <w:rPr>
          <w:rFonts w:ascii="仿宋_GB2312" w:hAnsi="仿宋_GB2312" w:eastAsia="仿宋_GB2312"/>
          <w:sz w:val="32"/>
          <w:szCs w:val="32"/>
        </w:rPr>
        <w:t>优秀博士生奖学金、优秀硕士生奖学金</w:t>
      </w:r>
      <w:r>
        <w:rPr>
          <w:rFonts w:hint="eastAsia" w:ascii="仿宋_GB2312" w:hAnsi="仿宋_GB2312" w:eastAsia="仿宋_GB2312"/>
          <w:sz w:val="32"/>
          <w:szCs w:val="32"/>
        </w:rPr>
        <w:t>者，要求：</w:t>
      </w:r>
    </w:p>
    <w:p>
      <w:pPr>
        <w:adjustRightInd w:val="0"/>
        <w:snapToGrid w:val="0"/>
        <w:spacing w:line="544" w:lineRule="exact"/>
        <w:ind w:firstLine="640" w:firstLineChars="200"/>
        <w:rPr>
          <w:rFonts w:ascii="仿宋_GB2312" w:hAnsi="仿宋_GB2312" w:eastAsia="仿宋_GB2312"/>
          <w:sz w:val="32"/>
          <w:szCs w:val="32"/>
        </w:rPr>
      </w:pPr>
      <w:r>
        <w:rPr>
          <w:rFonts w:hint="eastAsia" w:ascii="仿宋_GB2312" w:hAnsi="仿宋_GB2312" w:eastAsia="仿宋_GB2312"/>
          <w:sz w:val="32"/>
          <w:szCs w:val="32"/>
        </w:rPr>
        <w:t>（4）学习成绩优异，科研能力显著，发展潜力突出；</w:t>
      </w:r>
    </w:p>
    <w:p>
      <w:pPr>
        <w:adjustRightInd w:val="0"/>
        <w:snapToGrid w:val="0"/>
        <w:spacing w:line="544" w:lineRule="exact"/>
        <w:ind w:firstLine="640" w:firstLineChars="200"/>
        <w:rPr>
          <w:rFonts w:ascii="仿宋_GB2312" w:hAnsi="仿宋_GB2312" w:eastAsia="仿宋_GB2312"/>
          <w:sz w:val="32"/>
          <w:szCs w:val="32"/>
        </w:rPr>
      </w:pPr>
      <w:r>
        <w:rPr>
          <w:rFonts w:hint="eastAsia" w:ascii="仿宋_GB2312" w:hAnsi="仿宋_GB2312" w:eastAsia="仿宋_GB2312"/>
          <w:sz w:val="32"/>
          <w:szCs w:val="32"/>
        </w:rPr>
        <w:t>（5）学术型研究生要有较强的科研创新能力，原则上要有体现创新能力的科研成果；专业学位研究生要有较强的专业实践能力和适应专业岗位的综合素质。</w:t>
      </w:r>
    </w:p>
    <w:p>
      <w:pPr>
        <w:adjustRightInd w:val="0"/>
        <w:snapToGrid w:val="0"/>
        <w:spacing w:line="544" w:lineRule="exact"/>
        <w:ind w:firstLine="640" w:firstLineChars="200"/>
        <w:rPr>
          <w:rFonts w:ascii="仿宋_GB2312" w:hAnsi="仿宋_GB2312" w:eastAsia="仿宋_GB2312"/>
          <w:sz w:val="32"/>
          <w:szCs w:val="32"/>
        </w:rPr>
      </w:pPr>
      <w:r>
        <w:rPr>
          <w:rFonts w:ascii="仿宋_GB2312" w:hAnsi="仿宋_GB2312" w:eastAsia="仿宋_GB2312"/>
          <w:sz w:val="32"/>
          <w:szCs w:val="32"/>
        </w:rPr>
        <w:t>申请研究生社会活动奖学金</w:t>
      </w:r>
      <w:r>
        <w:rPr>
          <w:rFonts w:hint="eastAsia" w:ascii="仿宋_GB2312" w:hAnsi="仿宋_GB2312" w:eastAsia="仿宋_GB2312"/>
          <w:sz w:val="32"/>
          <w:szCs w:val="32"/>
        </w:rPr>
        <w:t>者，</w:t>
      </w:r>
      <w:r>
        <w:rPr>
          <w:rFonts w:ascii="仿宋_GB2312" w:hAnsi="仿宋_GB2312" w:eastAsia="仿宋_GB2312"/>
          <w:sz w:val="32"/>
          <w:szCs w:val="32"/>
        </w:rPr>
        <w:t>要求</w:t>
      </w:r>
      <w:r>
        <w:rPr>
          <w:rFonts w:hint="eastAsia" w:ascii="仿宋_GB2312" w:hAnsi="仿宋_GB2312" w:eastAsia="仿宋_GB2312"/>
          <w:sz w:val="32"/>
          <w:szCs w:val="32"/>
        </w:rPr>
        <w:t>：</w:t>
      </w:r>
    </w:p>
    <w:p>
      <w:pPr>
        <w:adjustRightInd w:val="0"/>
        <w:snapToGrid w:val="0"/>
        <w:spacing w:line="544" w:lineRule="exact"/>
        <w:ind w:firstLine="640" w:firstLineChars="200"/>
        <w:rPr>
          <w:rFonts w:ascii="仿宋_GB2312" w:hAnsi="仿宋_GB2312" w:eastAsia="仿宋_GB2312"/>
          <w:color w:val="000000" w:themeColor="text1"/>
          <w:sz w:val="32"/>
          <w:szCs w:val="32"/>
          <w14:textFill>
            <w14:solidFill>
              <w14:schemeClr w14:val="tx1"/>
            </w14:solidFill>
          </w14:textFill>
        </w:rPr>
      </w:pPr>
      <w:r>
        <w:rPr>
          <w:rFonts w:hint="eastAsia" w:ascii="仿宋_GB2312" w:hAnsi="仿宋_GB2312" w:eastAsia="仿宋_GB2312"/>
          <w:color w:val="000000" w:themeColor="text1"/>
          <w:sz w:val="32"/>
          <w:szCs w:val="32"/>
          <w14:textFill>
            <w14:solidFill>
              <w14:schemeClr w14:val="tx1"/>
            </w14:solidFill>
          </w14:textFill>
        </w:rPr>
        <w:t>（4）</w:t>
      </w:r>
      <w:r>
        <w:rPr>
          <w:rFonts w:ascii="仿宋_GB2312" w:hAnsi="仿宋_GB2312" w:eastAsia="仿宋_GB2312"/>
          <w:color w:val="000000" w:themeColor="text1"/>
          <w:sz w:val="32"/>
          <w:szCs w:val="32"/>
          <w14:textFill>
            <w14:solidFill>
              <w14:schemeClr w14:val="tx1"/>
            </w14:solidFill>
          </w14:textFill>
        </w:rPr>
        <w:t>积极参与组织各种有益活动或积极参加公益活动且表现突出。在校（院）组织的各类文体活动、科技竞赛、社会实践、研究生挂职锻炼及其他公益活动中表现突出，获得服务对象、实践部门好评；具有团结协作精神和集体荣誉感；在校（院）研究生会、学生社团、党团组织、班级或其他组织担任一定职务，工作认真踏实，热心为集体和他 人服务，友爱同学，乐于助人。</w:t>
      </w:r>
    </w:p>
    <w:p>
      <w:pPr>
        <w:adjustRightInd w:val="0"/>
        <w:snapToGrid w:val="0"/>
        <w:spacing w:line="544" w:lineRule="exact"/>
        <w:ind w:firstLine="640" w:firstLineChars="200"/>
        <w:rPr>
          <w:rFonts w:ascii="仿宋_GB2312" w:hAnsi="仿宋_GB2312" w:eastAsia="仿宋_GB2312"/>
          <w:color w:val="000000" w:themeColor="text1"/>
          <w:sz w:val="32"/>
          <w:szCs w:val="32"/>
          <w14:textFill>
            <w14:solidFill>
              <w14:schemeClr w14:val="tx1"/>
            </w14:solidFill>
          </w14:textFill>
        </w:rPr>
      </w:pPr>
      <w:r>
        <w:rPr>
          <w:rFonts w:hint="eastAsia" w:ascii="仿宋_GB2312" w:hAnsi="仿宋_GB2312" w:eastAsia="仿宋_GB2312"/>
          <w:sz w:val="32"/>
          <w:szCs w:val="32"/>
        </w:rPr>
        <w:t>（5）原则上参与</w:t>
      </w:r>
      <w:r>
        <w:rPr>
          <w:rFonts w:ascii="仿宋_GB2312" w:hAnsi="仿宋_GB2312" w:eastAsia="仿宋_GB2312"/>
          <w:sz w:val="32"/>
          <w:szCs w:val="32"/>
        </w:rPr>
        <w:t>学生工作1学年（含）以上</w:t>
      </w:r>
      <w:r>
        <w:rPr>
          <w:rFonts w:hint="eastAsia" w:ascii="仿宋_GB2312" w:hAnsi="仿宋_GB2312" w:eastAsia="仿宋_GB2312"/>
          <w:sz w:val="32"/>
          <w:szCs w:val="32"/>
        </w:rPr>
        <w:t>。</w:t>
      </w:r>
    </w:p>
    <w:p>
      <w:pPr>
        <w:adjustRightInd w:val="0"/>
        <w:snapToGrid w:val="0"/>
        <w:spacing w:line="544" w:lineRule="exact"/>
        <w:ind w:firstLine="640" w:firstLineChars="200"/>
        <w:rPr>
          <w:rFonts w:ascii="仿宋_GB2312" w:hAnsi="仿宋_GB2312" w:eastAsia="仿宋_GB2312"/>
          <w:color w:val="000000" w:themeColor="text1"/>
          <w:sz w:val="32"/>
          <w:szCs w:val="32"/>
          <w14:textFill>
            <w14:solidFill>
              <w14:schemeClr w14:val="tx1"/>
            </w14:solidFill>
          </w14:textFill>
        </w:rPr>
      </w:pPr>
      <w:r>
        <w:rPr>
          <w:rFonts w:ascii="仿宋_GB2312" w:hAnsi="仿宋_GB2312" w:eastAsia="仿宋_GB2312"/>
          <w:color w:val="000000" w:themeColor="text1"/>
          <w:sz w:val="32"/>
          <w:szCs w:val="32"/>
          <w14:textFill>
            <w14:solidFill>
              <w14:schemeClr w14:val="tx1"/>
            </w14:solidFill>
          </w14:textFill>
        </w:rPr>
        <w:t>申请面向新生的研究生国家奖学金（简称“研究生新生国家奖学金”）者，要求</w:t>
      </w:r>
      <w:r>
        <w:rPr>
          <w:rFonts w:hint="eastAsia" w:ascii="仿宋_GB2312" w:hAnsi="仿宋_GB2312" w:eastAsia="仿宋_GB2312"/>
          <w:color w:val="000000" w:themeColor="text1"/>
          <w:sz w:val="32"/>
          <w:szCs w:val="32"/>
          <w14:textFill>
            <w14:solidFill>
              <w14:schemeClr w14:val="tx1"/>
            </w14:solidFill>
          </w14:textFill>
        </w:rPr>
        <w:t>：</w:t>
      </w:r>
    </w:p>
    <w:p>
      <w:pPr>
        <w:adjustRightInd w:val="0"/>
        <w:snapToGrid w:val="0"/>
        <w:spacing w:line="544" w:lineRule="exact"/>
        <w:ind w:firstLine="640" w:firstLineChars="200"/>
        <w:rPr>
          <w:rFonts w:ascii="仿宋_GB2312" w:hAnsi="仿宋_GB2312" w:eastAsia="仿宋_GB2312"/>
          <w:color w:val="000000" w:themeColor="text1"/>
          <w:sz w:val="32"/>
          <w:szCs w:val="32"/>
          <w14:textFill>
            <w14:solidFill>
              <w14:schemeClr w14:val="tx1"/>
            </w14:solidFill>
          </w14:textFill>
        </w:rPr>
      </w:pPr>
      <w:r>
        <w:rPr>
          <w:rFonts w:hint="eastAsia" w:ascii="仿宋_GB2312" w:hAnsi="仿宋_GB2312" w:eastAsia="仿宋_GB2312"/>
          <w:color w:val="000000" w:themeColor="text1"/>
          <w:sz w:val="32"/>
          <w:szCs w:val="32"/>
          <w14:textFill>
            <w14:solidFill>
              <w14:schemeClr w14:val="tx1"/>
            </w14:solidFill>
          </w14:textFill>
        </w:rPr>
        <w:t>（4）</w:t>
      </w:r>
      <w:r>
        <w:rPr>
          <w:rFonts w:ascii="仿宋_GB2312" w:hAnsi="仿宋_GB2312" w:eastAsia="仿宋_GB2312"/>
          <w:color w:val="000000" w:themeColor="text1"/>
          <w:sz w:val="32"/>
          <w:szCs w:val="32"/>
          <w14:textFill>
            <w14:solidFill>
              <w14:schemeClr w14:val="tx1"/>
            </w14:solidFill>
          </w14:textFill>
        </w:rPr>
        <w:t>入学考试成绩或考核评价结果优秀，并在入学前三年内取得突出成绩。</w:t>
      </w:r>
    </w:p>
    <w:p>
      <w:pPr>
        <w:adjustRightInd w:val="0"/>
        <w:snapToGrid w:val="0"/>
        <w:spacing w:line="544" w:lineRule="exact"/>
        <w:ind w:firstLine="640" w:firstLineChars="200"/>
        <w:rPr>
          <w:rFonts w:ascii="仿宋_GB2312" w:hAnsi="仿宋_GB2312" w:eastAsia="仿宋_GB2312"/>
          <w:sz w:val="32"/>
          <w:szCs w:val="32"/>
        </w:rPr>
      </w:pPr>
      <w:r>
        <w:rPr>
          <w:rFonts w:ascii="仿宋_GB2312" w:hAnsi="仿宋_GB2312" w:eastAsia="仿宋_GB2312"/>
          <w:sz w:val="32"/>
          <w:szCs w:val="32"/>
        </w:rPr>
        <w:t>3</w:t>
      </w:r>
      <w:r>
        <w:rPr>
          <w:rFonts w:hint="eastAsia" w:ascii="仿宋_GB2312" w:hAnsi="仿宋_GB2312" w:eastAsia="仿宋_GB2312"/>
          <w:sz w:val="32"/>
          <w:szCs w:val="32"/>
        </w:rPr>
        <w:t>.限制条件：出现以下情况的研究生，不得参加研究生奖学金的评审：</w:t>
      </w:r>
    </w:p>
    <w:p>
      <w:pPr>
        <w:adjustRightInd w:val="0"/>
        <w:snapToGrid w:val="0"/>
        <w:spacing w:line="544" w:lineRule="exact"/>
        <w:ind w:firstLine="640" w:firstLineChars="200"/>
        <w:rPr>
          <w:rFonts w:ascii="仿宋_GB2312" w:hAnsi="仿宋_GB2312" w:eastAsia="仿宋_GB2312"/>
          <w:sz w:val="32"/>
          <w:szCs w:val="32"/>
        </w:rPr>
      </w:pPr>
      <w:r>
        <w:rPr>
          <w:rFonts w:hint="eastAsia" w:ascii="仿宋_GB2312" w:hAnsi="仿宋_GB2312" w:eastAsia="仿宋_GB2312"/>
          <w:sz w:val="32"/>
          <w:szCs w:val="32"/>
        </w:rPr>
        <w:t>（1）上一学年内出现过课程考核成绩不及格者；</w:t>
      </w:r>
    </w:p>
    <w:p>
      <w:pPr>
        <w:adjustRightInd w:val="0"/>
        <w:snapToGrid w:val="0"/>
        <w:spacing w:line="544" w:lineRule="exact"/>
        <w:ind w:firstLine="640" w:firstLineChars="200"/>
        <w:rPr>
          <w:rFonts w:ascii="仿宋_GB2312" w:hAnsi="仿宋_GB2312" w:eastAsia="仿宋_GB2312"/>
          <w:sz w:val="32"/>
          <w:szCs w:val="32"/>
        </w:rPr>
      </w:pPr>
      <w:r>
        <w:rPr>
          <w:rFonts w:hint="eastAsia" w:ascii="仿宋_GB2312" w:hAnsi="仿宋_GB2312" w:eastAsia="仿宋_GB2312"/>
          <w:sz w:val="32"/>
          <w:szCs w:val="32"/>
        </w:rPr>
        <w:t>（2）有学术不端行为经查证属实者；</w:t>
      </w:r>
    </w:p>
    <w:p>
      <w:pPr>
        <w:adjustRightInd w:val="0"/>
        <w:snapToGrid w:val="0"/>
        <w:spacing w:line="544" w:lineRule="exact"/>
        <w:ind w:firstLine="640" w:firstLineChars="200"/>
        <w:rPr>
          <w:rFonts w:ascii="仿宋_GB2312" w:hAnsi="仿宋_GB2312" w:eastAsia="仿宋_GB2312"/>
          <w:sz w:val="32"/>
          <w:szCs w:val="32"/>
        </w:rPr>
      </w:pPr>
      <w:r>
        <w:rPr>
          <w:rFonts w:hint="eastAsia" w:ascii="仿宋_GB2312" w:hAnsi="仿宋_GB2312" w:eastAsia="仿宋_GB2312"/>
          <w:sz w:val="32"/>
          <w:szCs w:val="32"/>
        </w:rPr>
        <w:t>（3）无正当事由未按规定注册者；</w:t>
      </w:r>
    </w:p>
    <w:p>
      <w:pPr>
        <w:adjustRightInd w:val="0"/>
        <w:snapToGrid w:val="0"/>
        <w:spacing w:line="544" w:lineRule="exact"/>
        <w:ind w:firstLine="640" w:firstLineChars="200"/>
        <w:rPr>
          <w:rFonts w:ascii="仿宋_GB2312" w:hAnsi="仿宋_GB2312" w:eastAsia="仿宋_GB2312"/>
          <w:sz w:val="32"/>
          <w:szCs w:val="32"/>
        </w:rPr>
      </w:pPr>
      <w:r>
        <w:rPr>
          <w:rFonts w:hint="eastAsia" w:ascii="仿宋_GB2312" w:hAnsi="仿宋_GB2312" w:eastAsia="仿宋_GB2312"/>
          <w:sz w:val="32"/>
          <w:szCs w:val="32"/>
        </w:rPr>
        <w:t>（4）提供虚假</w:t>
      </w:r>
      <w:r>
        <w:rPr>
          <w:rFonts w:ascii="仿宋_GB2312" w:hAnsi="仿宋_GB2312" w:eastAsia="仿宋_GB2312"/>
          <w:sz w:val="32"/>
          <w:szCs w:val="32"/>
        </w:rPr>
        <w:t>材料者</w:t>
      </w:r>
      <w:r>
        <w:rPr>
          <w:rFonts w:hint="eastAsia" w:ascii="仿宋_GB2312" w:hAnsi="仿宋_GB2312" w:eastAsia="仿宋_GB2312"/>
          <w:sz w:val="32"/>
          <w:szCs w:val="32"/>
        </w:rPr>
        <w:t>；</w:t>
      </w:r>
    </w:p>
    <w:p>
      <w:pPr>
        <w:adjustRightInd w:val="0"/>
        <w:snapToGrid w:val="0"/>
        <w:spacing w:line="544" w:lineRule="exact"/>
        <w:ind w:firstLine="640" w:firstLineChars="200"/>
        <w:rPr>
          <w:rFonts w:ascii="仿宋_GB2312" w:hAnsi="仿宋_GB2312" w:eastAsia="仿宋_GB2312"/>
          <w:sz w:val="32"/>
          <w:szCs w:val="32"/>
        </w:rPr>
      </w:pPr>
      <w:r>
        <w:rPr>
          <w:rFonts w:hint="eastAsia" w:ascii="仿宋_GB2312" w:hAnsi="仿宋_GB2312" w:eastAsia="仿宋_GB2312"/>
          <w:sz w:val="32"/>
          <w:szCs w:val="32"/>
        </w:rPr>
        <w:t>（5）参评学年学籍处于休学、保留学籍者；</w:t>
      </w:r>
    </w:p>
    <w:p>
      <w:pPr>
        <w:adjustRightInd w:val="0"/>
        <w:snapToGrid w:val="0"/>
        <w:spacing w:line="544" w:lineRule="exact"/>
        <w:ind w:firstLine="640" w:firstLineChars="200"/>
        <w:rPr>
          <w:rFonts w:ascii="仿宋_GB2312" w:hAnsi="仿宋_GB2312" w:eastAsia="仿宋_GB2312"/>
          <w:sz w:val="32"/>
          <w:szCs w:val="32"/>
        </w:rPr>
      </w:pPr>
      <w:r>
        <w:rPr>
          <w:rFonts w:hint="eastAsia" w:ascii="仿宋_GB2312" w:hAnsi="仿宋_GB2312" w:eastAsia="仿宋_GB2312"/>
          <w:sz w:val="32"/>
          <w:szCs w:val="32"/>
        </w:rPr>
        <w:t>（6）处于</w:t>
      </w:r>
      <w:r>
        <w:rPr>
          <w:rFonts w:ascii="仿宋_GB2312" w:hAnsi="仿宋_GB2312" w:eastAsia="仿宋_GB2312"/>
          <w:sz w:val="32"/>
          <w:szCs w:val="32"/>
        </w:rPr>
        <w:t>违纪处分期内者</w:t>
      </w:r>
      <w:r>
        <w:rPr>
          <w:rFonts w:hint="eastAsia" w:ascii="仿宋_GB2312" w:hAnsi="仿宋_GB2312" w:eastAsia="仿宋_GB2312"/>
          <w:sz w:val="32"/>
          <w:szCs w:val="32"/>
        </w:rPr>
        <w:t>；</w:t>
      </w:r>
    </w:p>
    <w:p>
      <w:pPr>
        <w:adjustRightInd w:val="0"/>
        <w:snapToGrid w:val="0"/>
        <w:spacing w:line="544" w:lineRule="exact"/>
        <w:ind w:firstLine="640" w:firstLineChars="200"/>
        <w:rPr>
          <w:rFonts w:ascii="仿宋_GB2312" w:hAnsi="仿宋_GB2312" w:eastAsia="仿宋_GB2312" w:cs="Arial"/>
          <w:kern w:val="0"/>
          <w:sz w:val="32"/>
          <w:szCs w:val="32"/>
        </w:rPr>
      </w:pPr>
      <w:r>
        <w:rPr>
          <w:rFonts w:hint="eastAsia" w:ascii="仿宋_GB2312" w:hAnsi="仿宋_GB2312" w:eastAsia="仿宋_GB2312" w:cs="Arial"/>
          <w:kern w:val="0"/>
          <w:sz w:val="32"/>
          <w:szCs w:val="32"/>
        </w:rPr>
        <w:t>（7）违反实验室</w:t>
      </w:r>
      <w:r>
        <w:rPr>
          <w:rFonts w:hint="eastAsia" w:ascii="仿宋_GB2312" w:hAnsi="仿宋_GB2312" w:eastAsia="仿宋_GB2312" w:cs="Arial"/>
          <w:kern w:val="0"/>
          <w:sz w:val="32"/>
          <w:szCs w:val="32"/>
          <w:lang w:eastAsia="zh-CN"/>
        </w:rPr>
        <w:t>、</w:t>
      </w:r>
      <w:r>
        <w:rPr>
          <w:rFonts w:hint="eastAsia" w:ascii="仿宋_GB2312" w:hAnsi="仿宋_GB2312" w:eastAsia="仿宋_GB2312" w:cs="Arial"/>
          <w:kern w:val="0"/>
          <w:sz w:val="32"/>
          <w:szCs w:val="32"/>
          <w:lang w:val="en-US" w:eastAsia="zh-CN"/>
        </w:rPr>
        <w:t>研修室</w:t>
      </w:r>
      <w:r>
        <w:rPr>
          <w:rFonts w:hint="eastAsia" w:ascii="仿宋_GB2312" w:hAnsi="仿宋_GB2312" w:eastAsia="仿宋_GB2312" w:cs="Arial"/>
          <w:kern w:val="0"/>
          <w:sz w:val="32"/>
          <w:szCs w:val="32"/>
        </w:rPr>
        <w:t>或者学校住宿安全管理规定引发严重后果的。</w:t>
      </w:r>
    </w:p>
    <w:p>
      <w:pPr>
        <w:adjustRightInd w:val="0"/>
        <w:snapToGrid w:val="0"/>
        <w:spacing w:line="544" w:lineRule="exact"/>
        <w:ind w:firstLine="640" w:firstLineChars="200"/>
        <w:rPr>
          <w:rFonts w:hint="eastAsia" w:ascii="仿宋_GB2312" w:hAnsi="仿宋_GB2312" w:eastAsia="仿宋_GB2312"/>
          <w:color w:val="C00000"/>
          <w:sz w:val="32"/>
          <w:szCs w:val="32"/>
        </w:rPr>
      </w:pPr>
      <w:r>
        <w:rPr>
          <w:rFonts w:hint="eastAsia" w:ascii="仿宋_GB2312" w:hAnsi="仿宋_GB2312" w:eastAsia="仿宋_GB2312" w:cs="Arial"/>
          <w:kern w:val="0"/>
          <w:sz w:val="32"/>
          <w:szCs w:val="32"/>
        </w:rPr>
        <w:t>（</w:t>
      </w:r>
      <w:r>
        <w:rPr>
          <w:rFonts w:ascii="仿宋_GB2312" w:hAnsi="仿宋_GB2312" w:eastAsia="仿宋_GB2312" w:cs="Arial"/>
          <w:kern w:val="0"/>
          <w:sz w:val="32"/>
          <w:szCs w:val="32"/>
        </w:rPr>
        <w:t>8</w:t>
      </w:r>
      <w:r>
        <w:rPr>
          <w:rFonts w:hint="eastAsia" w:ascii="仿宋_GB2312" w:hAnsi="仿宋_GB2312" w:eastAsia="仿宋_GB2312" w:cs="Arial"/>
          <w:kern w:val="0"/>
          <w:sz w:val="32"/>
          <w:szCs w:val="32"/>
        </w:rPr>
        <w:t>）党员评议或</w:t>
      </w:r>
      <w:r>
        <w:rPr>
          <w:rFonts w:hint="eastAsia" w:ascii="仿宋_GB2312" w:hAnsi="仿宋_GB2312" w:eastAsia="仿宋_GB2312"/>
          <w:color w:val="auto"/>
          <w:sz w:val="32"/>
          <w:szCs w:val="32"/>
        </w:rPr>
        <w:t>班级评议不合格者。</w:t>
      </w:r>
    </w:p>
    <w:p>
      <w:pPr>
        <w:adjustRightInd w:val="0"/>
        <w:snapToGrid w:val="0"/>
        <w:spacing w:before="50" w:line="544" w:lineRule="exact"/>
        <w:ind w:firstLine="640" w:firstLineChars="200"/>
        <w:rPr>
          <w:rFonts w:ascii="仿宋_GB2312" w:hAnsi="仿宋_GB2312" w:eastAsia="仿宋_GB2312"/>
          <w:color w:val="auto"/>
          <w:sz w:val="32"/>
          <w:szCs w:val="32"/>
        </w:rPr>
      </w:pPr>
      <w:r>
        <w:rPr>
          <w:rFonts w:hint="eastAsia" w:ascii="仿宋_GB2312" w:hAnsi="仿宋_GB2312" w:eastAsia="仿宋_GB2312"/>
          <w:color w:val="auto"/>
          <w:sz w:val="32"/>
          <w:szCs w:val="32"/>
        </w:rPr>
        <w:t>（</w:t>
      </w:r>
      <w:r>
        <w:rPr>
          <w:rFonts w:ascii="仿宋_GB2312" w:hAnsi="仿宋_GB2312" w:eastAsia="仿宋_GB2312"/>
          <w:color w:val="auto"/>
          <w:sz w:val="32"/>
          <w:szCs w:val="32"/>
        </w:rPr>
        <w:t>9</w:t>
      </w:r>
      <w:r>
        <w:rPr>
          <w:rFonts w:hint="eastAsia" w:ascii="仿宋_GB2312" w:hAnsi="仿宋_GB2312" w:eastAsia="仿宋_GB2312"/>
          <w:color w:val="auto"/>
          <w:sz w:val="32"/>
          <w:szCs w:val="32"/>
        </w:rPr>
        <w:t>）传播谣言或者不当言论产生严重后果的。</w:t>
      </w:r>
    </w:p>
    <w:p>
      <w:pPr>
        <w:adjustRightInd w:val="0"/>
        <w:snapToGrid w:val="0"/>
        <w:spacing w:before="50" w:line="544" w:lineRule="exact"/>
        <w:ind w:firstLine="640" w:firstLineChars="200"/>
        <w:rPr>
          <w:rFonts w:ascii="仿宋_GB2312" w:hAnsi="仿宋_GB2312" w:eastAsia="仿宋_GB2312"/>
          <w:color w:val="auto"/>
          <w:sz w:val="32"/>
          <w:szCs w:val="32"/>
        </w:rPr>
      </w:pPr>
      <w:r>
        <w:rPr>
          <w:rFonts w:hint="eastAsia" w:ascii="仿宋_GB2312" w:hAnsi="仿宋_GB2312" w:eastAsia="仿宋_GB2312"/>
          <w:color w:val="auto"/>
          <w:sz w:val="32"/>
          <w:szCs w:val="32"/>
        </w:rPr>
        <w:t>（</w:t>
      </w:r>
      <w:r>
        <w:rPr>
          <w:rFonts w:ascii="仿宋_GB2312" w:hAnsi="仿宋_GB2312" w:eastAsia="仿宋_GB2312"/>
          <w:color w:val="auto"/>
          <w:sz w:val="32"/>
          <w:szCs w:val="32"/>
        </w:rPr>
        <w:t>10</w:t>
      </w:r>
      <w:r>
        <w:rPr>
          <w:rFonts w:hint="eastAsia" w:ascii="仿宋_GB2312" w:hAnsi="仿宋_GB2312" w:eastAsia="仿宋_GB2312"/>
          <w:color w:val="auto"/>
          <w:sz w:val="32"/>
          <w:szCs w:val="32"/>
        </w:rPr>
        <w:t>）</w:t>
      </w:r>
      <w:r>
        <w:rPr>
          <w:rFonts w:hint="eastAsia" w:ascii="仿宋_GB2312" w:hAnsi="仿宋_GB2312" w:eastAsia="仿宋_GB2312"/>
          <w:sz w:val="32"/>
          <w:szCs w:val="32"/>
        </w:rPr>
        <w:t>其他经</w:t>
      </w:r>
      <w:r>
        <w:rPr>
          <w:rFonts w:ascii="仿宋_GB2312" w:hAnsi="仿宋_GB2312" w:eastAsia="仿宋_GB2312"/>
          <w:sz w:val="32"/>
          <w:szCs w:val="32"/>
        </w:rPr>
        <w:t>学校、研究院认定不符合参与评奖规定的情况。</w:t>
      </w:r>
    </w:p>
    <w:p>
      <w:pPr>
        <w:adjustRightInd w:val="0"/>
        <w:snapToGrid w:val="0"/>
        <w:spacing w:line="544" w:lineRule="exact"/>
        <w:ind w:firstLine="640" w:firstLineChars="200"/>
        <w:rPr>
          <w:rFonts w:ascii="仿宋_GB2312" w:hAnsi="仿宋_GB2312" w:eastAsia="仿宋_GB2312"/>
          <w:sz w:val="32"/>
          <w:szCs w:val="32"/>
        </w:rPr>
      </w:pPr>
    </w:p>
    <w:p>
      <w:pPr>
        <w:adjustRightInd w:val="0"/>
        <w:snapToGrid w:val="0"/>
        <w:spacing w:line="544" w:lineRule="exact"/>
        <w:ind w:firstLine="640" w:firstLineChars="200"/>
        <w:rPr>
          <w:rFonts w:ascii="仿宋_GB2312" w:hAnsi="仿宋_GB2312" w:eastAsia="仿宋_GB2312"/>
          <w:sz w:val="32"/>
          <w:szCs w:val="32"/>
        </w:rPr>
      </w:pPr>
      <w:r>
        <w:rPr>
          <w:rFonts w:hint="eastAsia" w:ascii="仿宋_GB2312" w:hAnsi="仿宋_GB2312" w:eastAsia="仿宋_GB2312"/>
          <w:sz w:val="32"/>
          <w:szCs w:val="32"/>
        </w:rPr>
        <w:t>3.其他条件：</w:t>
      </w:r>
    </w:p>
    <w:p>
      <w:pPr>
        <w:adjustRightInd w:val="0"/>
        <w:snapToGrid w:val="0"/>
        <w:spacing w:line="544" w:lineRule="exact"/>
        <w:ind w:firstLine="640" w:firstLineChars="200"/>
        <w:rPr>
          <w:rFonts w:ascii="仿宋_GB2312" w:hAnsi="仿宋_GB2312" w:eastAsia="仿宋_GB2312"/>
          <w:sz w:val="32"/>
          <w:szCs w:val="32"/>
        </w:rPr>
      </w:pPr>
      <w:r>
        <w:rPr>
          <w:rFonts w:hint="eastAsia" w:ascii="仿宋_GB2312" w:hAnsi="仿宋_GB2312" w:eastAsia="仿宋_GB2312"/>
          <w:sz w:val="32"/>
          <w:szCs w:val="32"/>
        </w:rPr>
        <w:t>如</w:t>
      </w:r>
      <w:r>
        <w:rPr>
          <w:rFonts w:ascii="仿宋_GB2312" w:hAnsi="仿宋_GB2312" w:eastAsia="仿宋_GB2312"/>
          <w:sz w:val="32"/>
          <w:szCs w:val="32"/>
        </w:rPr>
        <w:t>校外捐赠冠名奖学金捐赠协议</w:t>
      </w:r>
      <w:r>
        <w:rPr>
          <w:rFonts w:hint="eastAsia" w:ascii="仿宋_GB2312" w:hAnsi="仿宋_GB2312" w:eastAsia="仿宋_GB2312"/>
          <w:sz w:val="32"/>
          <w:szCs w:val="32"/>
        </w:rPr>
        <w:t>中有具体条件，按照</w:t>
      </w:r>
      <w:r>
        <w:rPr>
          <w:rFonts w:ascii="仿宋_GB2312" w:hAnsi="仿宋_GB2312" w:eastAsia="仿宋_GB2312"/>
          <w:sz w:val="32"/>
          <w:szCs w:val="32"/>
        </w:rPr>
        <w:t>捐赠协议执行</w:t>
      </w:r>
      <w:r>
        <w:rPr>
          <w:rFonts w:hint="eastAsia" w:ascii="仿宋_GB2312" w:hAnsi="仿宋_GB2312" w:eastAsia="仿宋_GB2312"/>
          <w:sz w:val="32"/>
          <w:szCs w:val="32"/>
        </w:rPr>
        <w:t>。</w:t>
      </w:r>
    </w:p>
    <w:p>
      <w:pPr>
        <w:adjustRightInd w:val="0"/>
        <w:snapToGrid w:val="0"/>
        <w:spacing w:line="544" w:lineRule="exact"/>
        <w:ind w:firstLine="643" w:firstLineChars="200"/>
        <w:rPr>
          <w:rFonts w:ascii="仿宋_GB2312" w:hAnsi="仿宋_GB2312" w:eastAsia="仿宋_GB2312"/>
          <w:b/>
          <w:sz w:val="32"/>
          <w:szCs w:val="32"/>
        </w:rPr>
      </w:pPr>
      <w:r>
        <w:rPr>
          <w:rFonts w:hint="eastAsia" w:ascii="仿宋_GB2312" w:hAnsi="仿宋_GB2312" w:eastAsia="仿宋_GB2312"/>
          <w:b/>
          <w:sz w:val="32"/>
          <w:szCs w:val="32"/>
        </w:rPr>
        <w:t>第五条  评审组织及职责</w:t>
      </w:r>
    </w:p>
    <w:p>
      <w:pPr>
        <w:adjustRightInd w:val="0"/>
        <w:snapToGrid w:val="0"/>
        <w:spacing w:line="544" w:lineRule="exact"/>
        <w:ind w:firstLine="640" w:firstLineChars="200"/>
        <w:rPr>
          <w:rFonts w:ascii="仿宋_GB2312" w:hAnsi="仿宋_GB2312" w:eastAsia="仿宋_GB2312"/>
          <w:sz w:val="32"/>
          <w:szCs w:val="32"/>
        </w:rPr>
      </w:pPr>
      <w:r>
        <w:rPr>
          <w:rFonts w:hint="eastAsia" w:ascii="仿宋_GB2312" w:hAnsi="仿宋_GB2312" w:eastAsia="仿宋_GB2312"/>
          <w:sz w:val="32"/>
          <w:szCs w:val="32"/>
        </w:rPr>
        <w:t>研究院设立研究生奖学金评审委员会。由研究院主要领导</w:t>
      </w:r>
      <w:r>
        <w:rPr>
          <w:rFonts w:ascii="仿宋_GB2312" w:hAnsi="仿宋_GB2312" w:eastAsia="仿宋_GB2312"/>
          <w:sz w:val="32"/>
          <w:szCs w:val="32"/>
        </w:rPr>
        <w:t>、</w:t>
      </w:r>
      <w:r>
        <w:rPr>
          <w:rFonts w:hint="eastAsia" w:ascii="仿宋_GB2312" w:hAnsi="仿宋_GB2312" w:eastAsia="仿宋_GB2312"/>
          <w:sz w:val="32"/>
          <w:szCs w:val="32"/>
          <w:lang w:val="en-US" w:eastAsia="zh-CN"/>
        </w:rPr>
        <w:t>研究生</w:t>
      </w:r>
      <w:r>
        <w:rPr>
          <w:rFonts w:hint="eastAsia" w:ascii="仿宋_GB2312" w:hAnsi="仿宋_GB2312" w:eastAsia="仿宋_GB2312"/>
          <w:sz w:val="32"/>
          <w:szCs w:val="32"/>
        </w:rPr>
        <w:t>导师、班主任代表</w:t>
      </w:r>
      <w:r>
        <w:rPr>
          <w:rFonts w:hint="eastAsia" w:ascii="仿宋_GB2312" w:hAnsi="仿宋_GB2312" w:eastAsia="仿宋_GB2312"/>
          <w:sz w:val="32"/>
          <w:szCs w:val="32"/>
          <w:lang w:eastAsia="zh-CN"/>
        </w:rPr>
        <w:t>、</w:t>
      </w:r>
      <w:r>
        <w:rPr>
          <w:rFonts w:hint="eastAsia" w:ascii="仿宋_GB2312" w:hAnsi="仿宋_GB2312" w:eastAsia="仿宋_GB2312"/>
          <w:sz w:val="32"/>
          <w:szCs w:val="32"/>
          <w:lang w:val="en-US" w:eastAsia="zh-CN"/>
        </w:rPr>
        <w:t>党政管理人员</w:t>
      </w:r>
      <w:r>
        <w:rPr>
          <w:rFonts w:hint="eastAsia" w:ascii="仿宋_GB2312" w:hAnsi="仿宋_GB2312" w:eastAsia="仿宋_GB2312"/>
          <w:sz w:val="32"/>
          <w:szCs w:val="32"/>
        </w:rPr>
        <w:t>及研究生代表组成，由研究院</w:t>
      </w:r>
      <w:r>
        <w:rPr>
          <w:rFonts w:hint="eastAsia" w:ascii="仿宋_GB2312" w:hAnsi="仿宋_GB2312" w:eastAsia="仿宋_GB2312"/>
          <w:sz w:val="32"/>
          <w:szCs w:val="32"/>
          <w:lang w:val="en-US" w:eastAsia="zh-CN"/>
        </w:rPr>
        <w:t>院长任主任委员</w:t>
      </w:r>
      <w:r>
        <w:rPr>
          <w:rFonts w:hint="eastAsia" w:ascii="仿宋_GB2312" w:hAnsi="仿宋_GB2312" w:eastAsia="仿宋_GB2312"/>
          <w:sz w:val="32"/>
          <w:szCs w:val="32"/>
        </w:rPr>
        <w:t>，分管教学工作的副院长、分管学生工作的副书记任副主任委员。</w:t>
      </w:r>
      <w:r>
        <w:rPr>
          <w:rFonts w:hint="eastAsia" w:ascii="仿宋_GB2312" w:hAnsi="仿宋_GB2312" w:eastAsia="仿宋_GB2312"/>
          <w:sz w:val="32"/>
          <w:szCs w:val="32"/>
        </w:rPr>
        <w:t>成员如遇人事变动，按职务自然替补。研究生奖学金评审委员会秘书处设置在院学工办。</w:t>
      </w:r>
    </w:p>
    <w:p>
      <w:pPr>
        <w:adjustRightInd w:val="0"/>
        <w:snapToGrid w:val="0"/>
        <w:spacing w:line="544" w:lineRule="exact"/>
        <w:ind w:firstLine="640" w:firstLineChars="200"/>
        <w:rPr>
          <w:rFonts w:hint="eastAsia" w:ascii="仿宋_GB2312" w:hAnsi="仿宋_GB2312" w:eastAsia="仿宋_GB2312"/>
          <w:sz w:val="32"/>
          <w:szCs w:val="32"/>
        </w:rPr>
      </w:pPr>
      <w:r>
        <w:rPr>
          <w:rFonts w:hint="eastAsia" w:ascii="仿宋_GB2312" w:hAnsi="仿宋_GB2312" w:eastAsia="仿宋_GB2312"/>
          <w:color w:val="000000" w:themeColor="text1"/>
          <w:kern w:val="0"/>
          <w:sz w:val="32"/>
          <w:szCs w:val="32"/>
          <w14:textFill>
            <w14:solidFill>
              <w14:schemeClr w14:val="tx1"/>
            </w14:solidFill>
          </w14:textFill>
        </w:rPr>
        <w:t>研究生奖学金评审委员会负责研究院奖金评审实施细则制定和异议裁决等工作，指导秘书处开展申请组织、初步评审、颁奖等事项。需要组织现场答辩或材料评审的奖学金及加分认定事项，由奖学金评审委员会指导并授权具体评审小组开展工作。</w:t>
      </w:r>
      <w:r>
        <w:rPr>
          <w:rFonts w:hint="eastAsia" w:ascii="仿宋_GB2312" w:hAnsi="仿宋_GB2312" w:eastAsia="仿宋_GB2312"/>
          <w:sz w:val="32"/>
          <w:szCs w:val="32"/>
        </w:rPr>
        <w:t>其中，国家奖学金采取</w:t>
      </w:r>
      <w:r>
        <w:rPr>
          <w:rFonts w:hint="eastAsia" w:ascii="仿宋_GB2312" w:hAnsi="仿宋_GB2312" w:eastAsia="仿宋_GB2312"/>
          <w:sz w:val="32"/>
          <w:szCs w:val="32"/>
          <w:lang w:val="en-US" w:eastAsia="zh-CN"/>
        </w:rPr>
        <w:t>院内</w:t>
      </w:r>
      <w:r>
        <w:rPr>
          <w:rFonts w:hint="eastAsia" w:ascii="仿宋_GB2312" w:hAnsi="仿宋_GB2312" w:eastAsia="仿宋_GB2312"/>
          <w:sz w:val="32"/>
          <w:szCs w:val="32"/>
        </w:rPr>
        <w:t>答辩形式，由</w:t>
      </w:r>
      <w:r>
        <w:rPr>
          <w:rFonts w:hint="eastAsia" w:ascii="仿宋_GB2312" w:hAnsi="仿宋_GB2312" w:eastAsia="仿宋_GB2312"/>
          <w:sz w:val="32"/>
          <w:szCs w:val="32"/>
          <w:lang w:val="en-US" w:eastAsia="zh-CN"/>
        </w:rPr>
        <w:t>研究院党政领导</w:t>
      </w:r>
      <w:r>
        <w:rPr>
          <w:rFonts w:hint="eastAsia" w:ascii="仿宋_GB2312" w:hAnsi="仿宋_GB2312" w:eastAsia="仿宋_GB2312"/>
          <w:sz w:val="32"/>
          <w:szCs w:val="32"/>
        </w:rPr>
        <w:t>、</w:t>
      </w:r>
      <w:r>
        <w:rPr>
          <w:rFonts w:hint="eastAsia" w:ascii="仿宋_GB2312" w:hAnsi="仿宋_GB2312" w:eastAsia="仿宋_GB2312"/>
          <w:sz w:val="32"/>
          <w:szCs w:val="32"/>
          <w:lang w:val="en-US" w:eastAsia="zh-CN"/>
        </w:rPr>
        <w:t>导师</w:t>
      </w:r>
      <w:r>
        <w:rPr>
          <w:rFonts w:hint="eastAsia" w:ascii="仿宋_GB2312" w:hAnsi="仿宋_GB2312" w:eastAsia="仿宋_GB2312"/>
          <w:sz w:val="32"/>
          <w:szCs w:val="32"/>
        </w:rPr>
        <w:t>代表、</w:t>
      </w:r>
      <w:r>
        <w:rPr>
          <w:rFonts w:hint="eastAsia" w:ascii="仿宋_GB2312" w:hAnsi="仿宋_GB2312" w:eastAsia="仿宋_GB2312"/>
          <w:sz w:val="32"/>
          <w:szCs w:val="32"/>
          <w:lang w:val="en-US" w:eastAsia="zh-CN"/>
        </w:rPr>
        <w:t>班主任代表、党政管理人员</w:t>
      </w:r>
      <w:r>
        <w:rPr>
          <w:rFonts w:hint="eastAsia" w:ascii="仿宋_GB2312" w:hAnsi="仿宋_GB2312" w:eastAsia="仿宋_GB2312"/>
          <w:sz w:val="32"/>
          <w:szCs w:val="32"/>
        </w:rPr>
        <w:t>等</w:t>
      </w:r>
      <w:r>
        <w:rPr>
          <w:rFonts w:hint="eastAsia" w:ascii="仿宋_GB2312" w:hAnsi="仿宋_GB2312" w:eastAsia="仿宋_GB2312"/>
          <w:sz w:val="32"/>
          <w:szCs w:val="32"/>
          <w:lang w:val="en-US" w:eastAsia="zh-CN"/>
        </w:rPr>
        <w:t>5</w:t>
      </w:r>
      <w:bookmarkStart w:id="1" w:name="_GoBack"/>
      <w:bookmarkEnd w:id="1"/>
      <w:r>
        <w:rPr>
          <w:rFonts w:hint="eastAsia" w:ascii="仿宋_GB2312" w:hAnsi="仿宋_GB2312" w:eastAsia="仿宋_GB2312"/>
          <w:sz w:val="32"/>
          <w:szCs w:val="32"/>
        </w:rPr>
        <w:t>人（含）以上组成评审小组。</w:t>
      </w:r>
    </w:p>
    <w:p>
      <w:pPr>
        <w:adjustRightInd w:val="0"/>
        <w:snapToGrid w:val="0"/>
        <w:spacing w:line="544" w:lineRule="exact"/>
        <w:ind w:firstLine="640" w:firstLineChars="200"/>
        <w:rPr>
          <w:rFonts w:ascii="仿宋_GB2312" w:hAnsi="仿宋_GB2312" w:eastAsia="仿宋_GB2312"/>
          <w:color w:val="FF0000"/>
          <w:sz w:val="32"/>
          <w:szCs w:val="32"/>
        </w:rPr>
      </w:pPr>
      <w:r>
        <w:rPr>
          <w:rFonts w:hint="eastAsia" w:ascii="仿宋_GB2312" w:hAnsi="仿宋_GB2312" w:eastAsia="仿宋_GB2312"/>
          <w:color w:val="000000" w:themeColor="text1"/>
          <w:sz w:val="32"/>
          <w:szCs w:val="32"/>
          <w14:textFill>
            <w14:solidFill>
              <w14:schemeClr w14:val="tx1"/>
            </w14:solidFill>
          </w14:textFill>
        </w:rPr>
        <w:t>奖学金评审按照平等、回避、公正、保密原则进行，评议审工作</w:t>
      </w:r>
      <w:r>
        <w:rPr>
          <w:rFonts w:hint="eastAsia" w:ascii="仿宋_GB2312" w:hAnsi="仿宋_GB2312" w:eastAsia="仿宋_GB2312"/>
          <w:color w:val="000000" w:themeColor="text1"/>
          <w:kern w:val="0"/>
          <w:sz w:val="32"/>
          <w:szCs w:val="32"/>
          <w14:textFill>
            <w14:solidFill>
              <w14:schemeClr w14:val="tx1"/>
            </w14:solidFill>
          </w14:textFill>
        </w:rPr>
        <w:t>设置纪委监督机制。</w:t>
      </w:r>
    </w:p>
    <w:p>
      <w:pPr>
        <w:adjustRightInd w:val="0"/>
        <w:snapToGrid w:val="0"/>
        <w:spacing w:line="544" w:lineRule="exact"/>
        <w:ind w:firstLine="643" w:firstLineChars="200"/>
        <w:rPr>
          <w:rFonts w:ascii="仿宋_GB2312" w:hAnsi="仿宋_GB2312" w:eastAsia="仿宋_GB2312"/>
          <w:b/>
          <w:sz w:val="32"/>
          <w:szCs w:val="32"/>
        </w:rPr>
      </w:pPr>
      <w:r>
        <w:rPr>
          <w:rFonts w:hint="eastAsia" w:ascii="仿宋_GB2312" w:hAnsi="仿宋_GB2312" w:eastAsia="仿宋_GB2312"/>
          <w:b/>
          <w:sz w:val="32"/>
          <w:szCs w:val="32"/>
        </w:rPr>
        <w:t>第六条  评审程序与方法</w:t>
      </w:r>
    </w:p>
    <w:p>
      <w:pPr>
        <w:adjustRightInd w:val="0"/>
        <w:snapToGrid w:val="0"/>
        <w:spacing w:line="544" w:lineRule="exact"/>
        <w:ind w:firstLine="564"/>
        <w:rPr>
          <w:rFonts w:ascii="仿宋_GB2312" w:hAnsi="仿宋_GB2312" w:eastAsia="仿宋_GB2312"/>
          <w:sz w:val="32"/>
          <w:szCs w:val="32"/>
        </w:rPr>
      </w:pPr>
      <w:r>
        <w:rPr>
          <w:rFonts w:hint="eastAsia" w:ascii="仿宋_GB2312" w:hAnsi="仿宋_GB2312" w:eastAsia="仿宋_GB2312"/>
          <w:sz w:val="32"/>
          <w:szCs w:val="32"/>
        </w:rPr>
        <w:t>1.研究</w:t>
      </w:r>
      <w:r>
        <w:rPr>
          <w:rFonts w:ascii="仿宋_GB2312" w:hAnsi="仿宋_GB2312" w:eastAsia="仿宋_GB2312"/>
          <w:sz w:val="32"/>
          <w:szCs w:val="32"/>
        </w:rPr>
        <w:t>院根据学校每年下达的奖学金种类和名额，</w:t>
      </w:r>
      <w:r>
        <w:rPr>
          <w:rFonts w:hint="eastAsia" w:ascii="仿宋_GB2312" w:hAnsi="仿宋_GB2312" w:eastAsia="仿宋_GB2312"/>
          <w:sz w:val="32"/>
          <w:szCs w:val="32"/>
        </w:rPr>
        <w:t>将部分</w:t>
      </w:r>
      <w:r>
        <w:rPr>
          <w:rFonts w:ascii="仿宋_GB2312" w:hAnsi="仿宋_GB2312" w:eastAsia="仿宋_GB2312"/>
          <w:sz w:val="32"/>
          <w:szCs w:val="32"/>
        </w:rPr>
        <w:t>金额较大</w:t>
      </w:r>
      <w:r>
        <w:rPr>
          <w:rFonts w:hint="eastAsia" w:ascii="仿宋_GB2312" w:hAnsi="仿宋_GB2312" w:eastAsia="仿宋_GB2312"/>
          <w:sz w:val="32"/>
          <w:szCs w:val="32"/>
        </w:rPr>
        <w:t>或捐赠协议明确规定的奖学金</w:t>
      </w:r>
      <w:r>
        <w:rPr>
          <w:rFonts w:ascii="仿宋_GB2312" w:hAnsi="仿宋_GB2312" w:eastAsia="仿宋_GB2312"/>
          <w:sz w:val="32"/>
          <w:szCs w:val="32"/>
        </w:rPr>
        <w:t>列为全院竞争奖学金（含国家奖学金），其余奖学金按</w:t>
      </w:r>
      <w:r>
        <w:rPr>
          <w:rFonts w:hint="eastAsia" w:ascii="仿宋_GB2312" w:hAnsi="仿宋_GB2312" w:eastAsia="仿宋_GB2312"/>
          <w:sz w:val="32"/>
          <w:szCs w:val="32"/>
        </w:rPr>
        <w:t>参评当年各年级人数比例分配到年级</w:t>
      </w:r>
      <w:r>
        <w:rPr>
          <w:rFonts w:ascii="仿宋_GB2312" w:hAnsi="仿宋_GB2312" w:eastAsia="仿宋_GB2312"/>
          <w:sz w:val="32"/>
          <w:szCs w:val="32"/>
        </w:rPr>
        <w:t>,且奖学金评选适当考虑专业平衡</w:t>
      </w:r>
      <w:r>
        <w:rPr>
          <w:rFonts w:hint="eastAsia" w:ascii="仿宋_GB2312" w:hAnsi="仿宋_GB2312" w:eastAsia="仿宋_GB2312"/>
          <w:sz w:val="32"/>
          <w:szCs w:val="32"/>
        </w:rPr>
        <w:t>。</w:t>
      </w:r>
      <w:r>
        <w:rPr>
          <w:rFonts w:ascii="仿宋_GB2312" w:hAnsi="仿宋_GB2312" w:eastAsia="仿宋_GB2312"/>
          <w:sz w:val="32"/>
          <w:szCs w:val="32"/>
        </w:rPr>
        <w:t>社会活动</w:t>
      </w:r>
      <w:r>
        <w:rPr>
          <w:rFonts w:hint="eastAsia" w:ascii="仿宋_GB2312" w:hAnsi="仿宋_GB2312" w:eastAsia="仿宋_GB2312"/>
          <w:sz w:val="32"/>
          <w:szCs w:val="32"/>
        </w:rPr>
        <w:t>类</w:t>
      </w:r>
      <w:r>
        <w:rPr>
          <w:rFonts w:ascii="仿宋_GB2312" w:hAnsi="仿宋_GB2312" w:eastAsia="仿宋_GB2312"/>
          <w:sz w:val="32"/>
          <w:szCs w:val="32"/>
        </w:rPr>
        <w:t>奖学金</w:t>
      </w:r>
      <w:r>
        <w:rPr>
          <w:rFonts w:hint="eastAsia" w:ascii="仿宋_GB2312" w:hAnsi="仿宋_GB2312" w:eastAsia="仿宋_GB2312"/>
          <w:sz w:val="32"/>
          <w:szCs w:val="32"/>
        </w:rPr>
        <w:t>名额分配至各年级，由学生学工评议答辩成绩排名为主要参考，部分</w:t>
      </w:r>
      <w:r>
        <w:rPr>
          <w:rFonts w:ascii="仿宋_GB2312" w:hAnsi="仿宋_GB2312" w:eastAsia="仿宋_GB2312"/>
          <w:sz w:val="32"/>
          <w:szCs w:val="32"/>
        </w:rPr>
        <w:t>名额由</w:t>
      </w:r>
      <w:r>
        <w:rPr>
          <w:rFonts w:hint="eastAsia" w:ascii="仿宋_GB2312" w:hAnsi="仿宋_GB2312" w:eastAsia="仿宋_GB2312"/>
          <w:sz w:val="32"/>
          <w:szCs w:val="32"/>
        </w:rPr>
        <w:t>研究</w:t>
      </w:r>
      <w:r>
        <w:rPr>
          <w:rFonts w:ascii="仿宋_GB2312" w:hAnsi="仿宋_GB2312" w:eastAsia="仿宋_GB2312"/>
          <w:sz w:val="32"/>
          <w:szCs w:val="32"/>
        </w:rPr>
        <w:t>院学工</w:t>
      </w:r>
      <w:r>
        <w:rPr>
          <w:rFonts w:hint="eastAsia" w:ascii="仿宋_GB2312" w:hAnsi="仿宋_GB2312" w:eastAsia="仿宋_GB2312"/>
          <w:sz w:val="32"/>
          <w:szCs w:val="32"/>
        </w:rPr>
        <w:t>办</w:t>
      </w:r>
      <w:r>
        <w:rPr>
          <w:rFonts w:ascii="仿宋_GB2312" w:hAnsi="仿宋_GB2312" w:eastAsia="仿宋_GB2312"/>
          <w:sz w:val="32"/>
          <w:szCs w:val="32"/>
        </w:rPr>
        <w:t>根据学校相关规定结合学校和研究院社会工作开展情况组织评审。</w:t>
      </w:r>
    </w:p>
    <w:p>
      <w:pPr>
        <w:adjustRightInd w:val="0"/>
        <w:snapToGrid w:val="0"/>
        <w:spacing w:line="544" w:lineRule="exact"/>
        <w:ind w:firstLine="752" w:firstLineChars="235"/>
        <w:rPr>
          <w:rFonts w:ascii="仿宋_GB2312" w:hAnsi="仿宋_GB2312" w:eastAsia="仿宋_GB2312"/>
          <w:sz w:val="32"/>
          <w:szCs w:val="32"/>
        </w:rPr>
      </w:pPr>
      <w:r>
        <w:rPr>
          <w:rFonts w:ascii="仿宋_GB2312" w:hAnsi="仿宋_GB2312" w:eastAsia="仿宋_GB2312"/>
          <w:sz w:val="32"/>
          <w:szCs w:val="32"/>
        </w:rPr>
        <w:t>2</w:t>
      </w:r>
      <w:r>
        <w:rPr>
          <w:rFonts w:hint="eastAsia" w:ascii="仿宋_GB2312" w:hAnsi="仿宋_GB2312" w:eastAsia="仿宋_GB2312"/>
          <w:sz w:val="32"/>
          <w:szCs w:val="32"/>
        </w:rPr>
        <w:t>.</w:t>
      </w:r>
      <w:r>
        <w:rPr>
          <w:rFonts w:ascii="仿宋_GB2312" w:hAnsi="仿宋_GB2312" w:eastAsia="仿宋_GB2312"/>
          <w:sz w:val="32"/>
          <w:szCs w:val="32"/>
        </w:rPr>
        <w:t>同一评审年度内，纳入统一评审范围的</w:t>
      </w:r>
      <w:r>
        <w:rPr>
          <w:rFonts w:hint="eastAsia" w:ascii="仿宋_GB2312" w:hAnsi="仿宋_GB2312" w:eastAsia="仿宋_GB2312"/>
          <w:sz w:val="32"/>
          <w:szCs w:val="32"/>
        </w:rPr>
        <w:t>各类校级奖学金</w:t>
      </w:r>
      <w:r>
        <w:rPr>
          <w:rFonts w:ascii="仿宋_GB2312" w:hAnsi="仿宋_GB2312" w:eastAsia="仿宋_GB2312"/>
          <w:sz w:val="32"/>
          <w:szCs w:val="32"/>
        </w:rPr>
        <w:t>和研究生国家奖学金不可兼得。</w:t>
      </w:r>
    </w:p>
    <w:p>
      <w:pPr>
        <w:adjustRightInd w:val="0"/>
        <w:snapToGrid w:val="0"/>
        <w:spacing w:line="544" w:lineRule="exact"/>
        <w:ind w:firstLine="752" w:firstLineChars="235"/>
        <w:rPr>
          <w:rFonts w:ascii="仿宋_GB2312" w:hAnsi="仿宋_GB2312" w:eastAsia="仿宋_GB2312"/>
          <w:sz w:val="32"/>
          <w:szCs w:val="32"/>
        </w:rPr>
      </w:pPr>
      <w:r>
        <w:rPr>
          <w:rFonts w:ascii="仿宋_GB2312" w:hAnsi="仿宋_GB2312" w:eastAsia="仿宋_GB2312"/>
          <w:sz w:val="32"/>
          <w:szCs w:val="32"/>
        </w:rPr>
        <w:t>3.</w:t>
      </w:r>
      <w:r>
        <w:rPr>
          <w:rFonts w:hint="eastAsia" w:ascii="仿宋_GB2312" w:hAnsi="仿宋_GB2312" w:eastAsia="仿宋_GB2312"/>
          <w:sz w:val="32"/>
          <w:szCs w:val="32"/>
        </w:rPr>
        <w:t>符合规定条件且有意愿申请研究生奖学金者，按要求在系统申请并提供相关材料，向所在班级提出申请。申请支撑材料的起止时间段界定如下：（1）申请博士研究生新生国家奖学金者，原则上可使用入学前三年内的各类支撑材料，但不含获得研究生国家奖学金曾使用过的材料。（2）除特别说明外，其他奖学金申请材料的时间段</w:t>
      </w:r>
      <w:r>
        <w:rPr>
          <w:rFonts w:ascii="仿宋_GB2312" w:hAnsi="仿宋_GB2312" w:eastAsia="仿宋_GB2312"/>
          <w:sz w:val="32"/>
          <w:szCs w:val="32"/>
        </w:rPr>
        <w:t>从上一年度9月1日至本年度8月31日</w:t>
      </w:r>
      <w:r>
        <w:rPr>
          <w:rFonts w:hint="eastAsia" w:ascii="仿宋_GB2312" w:hAnsi="仿宋_GB2312" w:eastAsia="仿宋_GB2312"/>
          <w:sz w:val="32"/>
          <w:szCs w:val="32"/>
        </w:rPr>
        <w:t>。申请支撑材料的单位要求：</w:t>
      </w:r>
      <w:bookmarkStart w:id="0" w:name="_Hlk516084966"/>
      <w:r>
        <w:rPr>
          <w:rFonts w:hint="eastAsia" w:ascii="仿宋_GB2312" w:hAnsi="仿宋_GB2312" w:eastAsia="仿宋_GB2312"/>
          <w:sz w:val="32"/>
          <w:szCs w:val="32"/>
        </w:rPr>
        <w:t>除申请面向新生的奖学金外，</w:t>
      </w:r>
      <w:bookmarkEnd w:id="0"/>
      <w:r>
        <w:rPr>
          <w:rFonts w:hint="eastAsia" w:ascii="仿宋_GB2312" w:hAnsi="仿宋_GB2312" w:eastAsia="仿宋_GB2312"/>
          <w:sz w:val="32"/>
          <w:szCs w:val="32"/>
        </w:rPr>
        <w:t>作为评审支撑材料使用的公开发表的学术论文（著作）要求以同济大学为第一单位，且应与本专业相关，</w:t>
      </w:r>
      <w:r>
        <w:rPr>
          <w:rFonts w:hint="eastAsia" w:ascii="仿宋_GB2312" w:hAnsi="仿宋_GB2312" w:eastAsia="仿宋_GB2312" w:cs="Arial"/>
          <w:kern w:val="0"/>
          <w:sz w:val="32"/>
          <w:szCs w:val="32"/>
        </w:rPr>
        <w:t>本人为第一作者或导师为第一作者本人为第二作者且第一署名。</w:t>
      </w:r>
    </w:p>
    <w:p>
      <w:pPr>
        <w:adjustRightInd w:val="0"/>
        <w:snapToGrid w:val="0"/>
        <w:spacing w:line="544" w:lineRule="exact"/>
        <w:ind w:firstLine="752" w:firstLineChars="235"/>
        <w:rPr>
          <w:rFonts w:ascii="仿宋_GB2312" w:hAnsi="仿宋_GB2312" w:eastAsia="仿宋_GB2312"/>
          <w:color w:val="000000" w:themeColor="text1"/>
          <w:sz w:val="32"/>
          <w:szCs w:val="32"/>
          <w14:textFill>
            <w14:solidFill>
              <w14:schemeClr w14:val="tx1"/>
            </w14:solidFill>
          </w14:textFill>
        </w:rPr>
      </w:pPr>
      <w:r>
        <w:rPr>
          <w:rFonts w:ascii="仿宋_GB2312" w:hAnsi="仿宋_GB2312" w:eastAsia="仿宋_GB2312" w:cs="Arial"/>
          <w:kern w:val="0"/>
          <w:sz w:val="32"/>
          <w:szCs w:val="32"/>
        </w:rPr>
        <w:t>4.</w:t>
      </w:r>
      <w:r>
        <w:rPr>
          <w:rFonts w:hint="eastAsia" w:ascii="仿宋_GB2312" w:hAnsi="仿宋_GB2312" w:eastAsia="仿宋_GB2312" w:cs="Arial"/>
          <w:kern w:val="0"/>
          <w:sz w:val="32"/>
          <w:szCs w:val="32"/>
        </w:rPr>
        <w:t>申请者根据本细则及《同济大学铁道与城市轨道交通研究院研究生奖学金评选综合测评办法》（以下简称《测评办法》）提交材料到学工办，由研究院组织后一阶段的评审或材料复审工作。对于全院答辩竞争的奖学金，评选总分由初审综合测评分数和答辩评分组成，总分不设置上限。</w:t>
      </w:r>
    </w:p>
    <w:p>
      <w:pPr>
        <w:adjustRightInd w:val="0"/>
        <w:snapToGrid w:val="0"/>
        <w:spacing w:line="544" w:lineRule="exact"/>
        <w:ind w:firstLine="752" w:firstLineChars="235"/>
        <w:rPr>
          <w:rFonts w:ascii="仿宋_GB2312" w:hAnsi="仿宋_GB2312" w:eastAsia="仿宋_GB2312"/>
          <w:sz w:val="32"/>
          <w:szCs w:val="32"/>
        </w:rPr>
      </w:pPr>
      <w:r>
        <w:rPr>
          <w:rFonts w:ascii="仿宋_GB2312" w:hAnsi="仿宋_GB2312" w:eastAsia="仿宋_GB2312" w:cs="Arial"/>
          <w:kern w:val="0"/>
          <w:sz w:val="32"/>
          <w:szCs w:val="32"/>
        </w:rPr>
        <w:t>5</w:t>
      </w:r>
      <w:r>
        <w:rPr>
          <w:rFonts w:hint="eastAsia" w:ascii="仿宋_GB2312" w:hAnsi="仿宋_GB2312" w:eastAsia="仿宋_GB2312" w:cs="Arial"/>
          <w:kern w:val="0"/>
          <w:sz w:val="32"/>
          <w:szCs w:val="32"/>
        </w:rPr>
        <w:t>.《测评办法》每年进行修订，在广泛征求全院师生意见的基础上，根据国家、学校最新要求，结合前一年评审情况，由奖学金评审委员会修订，并在当年奖学金评定工作开始前公布。</w:t>
      </w:r>
    </w:p>
    <w:p>
      <w:pPr>
        <w:adjustRightInd w:val="0"/>
        <w:snapToGrid w:val="0"/>
        <w:spacing w:line="544" w:lineRule="exact"/>
        <w:ind w:firstLine="752" w:firstLineChars="235"/>
        <w:rPr>
          <w:rFonts w:ascii="仿宋_GB2312" w:hAnsi="仿宋_GB2312" w:eastAsia="仿宋_GB2312"/>
          <w:sz w:val="32"/>
          <w:szCs w:val="32"/>
        </w:rPr>
      </w:pPr>
      <w:r>
        <w:rPr>
          <w:rFonts w:ascii="仿宋_GB2312" w:hAnsi="仿宋_GB2312" w:eastAsia="仿宋_GB2312"/>
          <w:sz w:val="32"/>
          <w:szCs w:val="32"/>
        </w:rPr>
        <w:t>6.</w:t>
      </w:r>
      <w:r>
        <w:rPr>
          <w:rFonts w:hint="eastAsia" w:ascii="仿宋_GB2312" w:hAnsi="仿宋_GB2312" w:eastAsia="仿宋_GB2312"/>
          <w:sz w:val="32"/>
          <w:szCs w:val="32"/>
        </w:rPr>
        <w:t>研究生奖学金评审委员会在研究院内评审后确定名单并公示（不少于5个</w:t>
      </w:r>
      <w:r>
        <w:rPr>
          <w:rFonts w:ascii="仿宋_GB2312" w:hAnsi="仿宋_GB2312" w:eastAsia="仿宋_GB2312"/>
          <w:sz w:val="32"/>
          <w:szCs w:val="32"/>
        </w:rPr>
        <w:t>工作日</w:t>
      </w:r>
      <w:r>
        <w:rPr>
          <w:rFonts w:hint="eastAsia" w:ascii="仿宋_GB2312" w:hAnsi="仿宋_GB2312" w:eastAsia="仿宋_GB2312"/>
          <w:sz w:val="32"/>
          <w:szCs w:val="32"/>
        </w:rPr>
        <w:t>）。评审的各类材料按要求保存备查，保存期自表决之日起计算3年。对评审结果有异议者，可在研究院公示阶段向研究院研究生奖学金评审委员会提出申诉，研究院评审委员会应及时研究并予以答复。</w:t>
      </w:r>
    </w:p>
    <w:p>
      <w:pPr>
        <w:adjustRightInd w:val="0"/>
        <w:snapToGrid w:val="0"/>
        <w:spacing w:line="544" w:lineRule="exact"/>
        <w:ind w:firstLine="752" w:firstLineChars="235"/>
        <w:rPr>
          <w:rFonts w:ascii="仿宋_GB2312" w:hAnsi="仿宋_GB2312" w:eastAsia="仿宋_GB2312"/>
          <w:sz w:val="32"/>
          <w:szCs w:val="32"/>
        </w:rPr>
      </w:pPr>
      <w:r>
        <w:rPr>
          <w:rFonts w:ascii="仿宋_GB2312" w:hAnsi="仿宋_GB2312" w:eastAsia="仿宋_GB2312"/>
          <w:sz w:val="32"/>
          <w:szCs w:val="32"/>
        </w:rPr>
        <w:t>7.</w:t>
      </w:r>
      <w:r>
        <w:rPr>
          <w:rFonts w:hint="eastAsia" w:ascii="仿宋_GB2312" w:hAnsi="仿宋_GB2312" w:eastAsia="仿宋_GB2312"/>
          <w:sz w:val="32"/>
          <w:szCs w:val="32"/>
        </w:rPr>
        <w:t>对在研究生奖学金评审过程中提供虚假材料的研究生，一经查实，除追回所得外，在校期间不得再次申请，并将依据校纪校规给予严肃处理。</w:t>
      </w:r>
    </w:p>
    <w:p>
      <w:pPr>
        <w:adjustRightInd w:val="0"/>
        <w:snapToGrid w:val="0"/>
        <w:spacing w:line="544" w:lineRule="exact"/>
        <w:ind w:firstLine="643" w:firstLineChars="200"/>
        <w:rPr>
          <w:rFonts w:ascii="仿宋_GB2312" w:hAnsi="仿宋_GB2312" w:eastAsia="仿宋_GB2312"/>
          <w:b/>
          <w:sz w:val="32"/>
          <w:szCs w:val="32"/>
        </w:rPr>
      </w:pPr>
      <w:r>
        <w:rPr>
          <w:rFonts w:hint="eastAsia" w:ascii="仿宋_GB2312" w:hAnsi="仿宋_GB2312" w:eastAsia="仿宋_GB2312"/>
          <w:b/>
          <w:sz w:val="32"/>
          <w:szCs w:val="32"/>
        </w:rPr>
        <w:t>第七条  附则</w:t>
      </w:r>
    </w:p>
    <w:p>
      <w:pPr>
        <w:adjustRightInd w:val="0"/>
        <w:snapToGrid w:val="0"/>
        <w:spacing w:line="544" w:lineRule="exact"/>
        <w:ind w:firstLine="564"/>
        <w:rPr>
          <w:rFonts w:ascii="仿宋_GB2312" w:hAnsi="仿宋_GB2312" w:eastAsia="仿宋_GB2312"/>
          <w:kern w:val="0"/>
          <w:sz w:val="32"/>
          <w:szCs w:val="32"/>
        </w:rPr>
      </w:pPr>
      <w:r>
        <w:rPr>
          <w:rFonts w:ascii="仿宋_GB2312" w:hAnsi="仿宋_GB2312" w:eastAsia="仿宋_GB2312"/>
          <w:kern w:val="0"/>
          <w:sz w:val="32"/>
          <w:szCs w:val="32"/>
        </w:rPr>
        <w:t>1.本细则</w:t>
      </w:r>
      <w:r>
        <w:rPr>
          <w:rFonts w:hint="eastAsia" w:ascii="仿宋_GB2312" w:hAnsi="仿宋_GB2312" w:eastAsia="仿宋_GB2312"/>
          <w:kern w:val="0"/>
          <w:sz w:val="32"/>
          <w:szCs w:val="32"/>
        </w:rPr>
        <w:t>经研究院党政联席会讨论通过，并报同济大学研究生奖学金评审领导小组秘书处备案。</w:t>
      </w:r>
    </w:p>
    <w:p>
      <w:pPr>
        <w:adjustRightInd w:val="0"/>
        <w:snapToGrid w:val="0"/>
        <w:spacing w:line="544" w:lineRule="exact"/>
        <w:ind w:firstLine="564"/>
        <w:rPr>
          <w:rFonts w:ascii="仿宋_GB2312" w:hAnsi="仿宋_GB2312" w:eastAsia="仿宋_GB2312"/>
          <w:kern w:val="0"/>
          <w:sz w:val="32"/>
          <w:szCs w:val="32"/>
        </w:rPr>
      </w:pPr>
      <w:r>
        <w:rPr>
          <w:rFonts w:ascii="仿宋_GB2312" w:hAnsi="仿宋_GB2312" w:eastAsia="仿宋_GB2312"/>
          <w:kern w:val="0"/>
          <w:sz w:val="32"/>
          <w:szCs w:val="32"/>
        </w:rPr>
        <w:t>2</w:t>
      </w:r>
      <w:r>
        <w:rPr>
          <w:rFonts w:hint="eastAsia" w:ascii="仿宋_GB2312" w:hAnsi="仿宋_GB2312" w:eastAsia="仿宋_GB2312"/>
          <w:kern w:val="0"/>
          <w:sz w:val="32"/>
          <w:szCs w:val="32"/>
        </w:rPr>
        <w:t>.</w:t>
      </w:r>
      <w:r>
        <w:rPr>
          <w:rFonts w:ascii="仿宋_GB2312" w:hAnsi="仿宋_GB2312" w:eastAsia="仿宋_GB2312"/>
          <w:kern w:val="0"/>
          <w:sz w:val="32"/>
          <w:szCs w:val="32"/>
        </w:rPr>
        <w:t>本</w:t>
      </w:r>
      <w:r>
        <w:rPr>
          <w:rFonts w:hint="eastAsia" w:ascii="仿宋_GB2312" w:hAnsi="仿宋_GB2312" w:eastAsia="仿宋_GB2312"/>
          <w:kern w:val="0"/>
          <w:sz w:val="32"/>
          <w:szCs w:val="32"/>
        </w:rPr>
        <w:t>细则</w:t>
      </w:r>
      <w:r>
        <w:rPr>
          <w:rFonts w:ascii="仿宋_GB2312" w:hAnsi="仿宋_GB2312" w:eastAsia="仿宋_GB2312"/>
          <w:kern w:val="0"/>
          <w:sz w:val="32"/>
          <w:szCs w:val="32"/>
        </w:rPr>
        <w:t>自</w:t>
      </w:r>
      <w:r>
        <w:rPr>
          <w:rFonts w:hint="eastAsia" w:ascii="仿宋_GB2312" w:hAnsi="仿宋_GB2312" w:eastAsia="仿宋_GB2312"/>
          <w:kern w:val="0"/>
          <w:sz w:val="32"/>
          <w:szCs w:val="32"/>
        </w:rPr>
        <w:t>党政联席会批准之日</w:t>
      </w:r>
      <w:r>
        <w:rPr>
          <w:rFonts w:ascii="仿宋_GB2312" w:hAnsi="仿宋_GB2312" w:eastAsia="仿宋_GB2312"/>
          <w:kern w:val="0"/>
          <w:sz w:val="32"/>
          <w:szCs w:val="32"/>
        </w:rPr>
        <w:t>起施行</w:t>
      </w:r>
      <w:r>
        <w:rPr>
          <w:rFonts w:hint="eastAsia" w:ascii="仿宋_GB2312" w:hAnsi="仿宋_GB2312" w:eastAsia="仿宋_GB2312"/>
          <w:kern w:val="0"/>
          <w:sz w:val="32"/>
          <w:szCs w:val="32"/>
        </w:rPr>
        <w:t>。2</w:t>
      </w:r>
      <w:r>
        <w:rPr>
          <w:rFonts w:ascii="仿宋_GB2312" w:hAnsi="仿宋_GB2312" w:eastAsia="仿宋_GB2312"/>
          <w:kern w:val="0"/>
          <w:sz w:val="32"/>
          <w:szCs w:val="32"/>
        </w:rPr>
        <w:t>019</w:t>
      </w:r>
      <w:r>
        <w:rPr>
          <w:rFonts w:hint="eastAsia" w:ascii="仿宋_GB2312" w:hAnsi="仿宋_GB2312" w:eastAsia="仿宋_GB2312"/>
          <w:kern w:val="0"/>
          <w:sz w:val="32"/>
          <w:szCs w:val="32"/>
        </w:rPr>
        <w:t>年颁布的《同济大学铁道与城市轨道交通研究院研究生奖学金评定细则》（同铁发【2</w:t>
      </w:r>
      <w:r>
        <w:rPr>
          <w:rFonts w:ascii="仿宋_GB2312" w:hAnsi="仿宋_GB2312" w:eastAsia="仿宋_GB2312"/>
          <w:kern w:val="0"/>
          <w:sz w:val="32"/>
          <w:szCs w:val="32"/>
        </w:rPr>
        <w:t>019</w:t>
      </w:r>
      <w:r>
        <w:rPr>
          <w:rFonts w:hint="eastAsia" w:ascii="仿宋_GB2312" w:hAnsi="仿宋_GB2312" w:eastAsia="仿宋_GB2312"/>
          <w:kern w:val="0"/>
          <w:sz w:val="32"/>
          <w:szCs w:val="32"/>
        </w:rPr>
        <w:t>】第0</w:t>
      </w:r>
      <w:r>
        <w:rPr>
          <w:rFonts w:ascii="仿宋_GB2312" w:hAnsi="仿宋_GB2312" w:eastAsia="仿宋_GB2312"/>
          <w:kern w:val="0"/>
          <w:sz w:val="32"/>
          <w:szCs w:val="32"/>
        </w:rPr>
        <w:t>20</w:t>
      </w:r>
      <w:r>
        <w:rPr>
          <w:rFonts w:hint="eastAsia" w:ascii="仿宋_GB2312" w:hAnsi="仿宋_GB2312" w:eastAsia="仿宋_GB2312"/>
          <w:kern w:val="0"/>
          <w:sz w:val="32"/>
          <w:szCs w:val="32"/>
        </w:rPr>
        <w:t>号）同时废止。</w:t>
      </w:r>
    </w:p>
    <w:p>
      <w:pPr>
        <w:adjustRightInd w:val="0"/>
        <w:snapToGrid w:val="0"/>
        <w:spacing w:line="544" w:lineRule="exact"/>
        <w:ind w:firstLine="564"/>
        <w:rPr>
          <w:rFonts w:ascii="仿宋_GB2312" w:hAnsi="仿宋_GB2312" w:eastAsia="仿宋_GB2312"/>
          <w:sz w:val="32"/>
          <w:szCs w:val="32"/>
        </w:rPr>
      </w:pPr>
      <w:r>
        <w:rPr>
          <w:rFonts w:hint="eastAsia" w:ascii="仿宋_GB2312" w:hAnsi="仿宋_GB2312" w:eastAsia="仿宋_GB2312"/>
          <w:kern w:val="0"/>
          <w:sz w:val="32"/>
          <w:szCs w:val="32"/>
        </w:rPr>
        <w:t>3</w:t>
      </w:r>
      <w:r>
        <w:rPr>
          <w:rFonts w:ascii="仿宋_GB2312" w:hAnsi="仿宋_GB2312" w:eastAsia="仿宋_GB2312"/>
          <w:kern w:val="0"/>
          <w:sz w:val="32"/>
          <w:szCs w:val="32"/>
        </w:rPr>
        <w:t>.相关事项的解释权归</w:t>
      </w:r>
      <w:r>
        <w:rPr>
          <w:rFonts w:hint="eastAsia" w:ascii="仿宋_GB2312" w:hAnsi="仿宋_GB2312" w:eastAsia="仿宋_GB2312"/>
          <w:kern w:val="0"/>
          <w:sz w:val="32"/>
          <w:szCs w:val="32"/>
        </w:rPr>
        <w:t>铁道与城市轨道交通研究</w:t>
      </w:r>
      <w:r>
        <w:rPr>
          <w:rFonts w:ascii="仿宋_GB2312" w:hAnsi="仿宋_GB2312" w:eastAsia="仿宋_GB2312"/>
          <w:kern w:val="0"/>
          <w:sz w:val="32"/>
          <w:szCs w:val="32"/>
        </w:rPr>
        <w:t>院奖学金评</w:t>
      </w:r>
      <w:r>
        <w:rPr>
          <w:rFonts w:hint="eastAsia" w:ascii="仿宋_GB2312" w:hAnsi="仿宋_GB2312" w:eastAsia="仿宋_GB2312"/>
          <w:kern w:val="0"/>
          <w:sz w:val="32"/>
          <w:szCs w:val="32"/>
        </w:rPr>
        <w:t>审</w:t>
      </w:r>
      <w:r>
        <w:rPr>
          <w:rFonts w:ascii="仿宋_GB2312" w:hAnsi="仿宋_GB2312" w:eastAsia="仿宋_GB2312"/>
          <w:kern w:val="0"/>
          <w:sz w:val="32"/>
          <w:szCs w:val="32"/>
        </w:rPr>
        <w:t>委员会</w:t>
      </w:r>
      <w:r>
        <w:rPr>
          <w:rFonts w:hint="eastAsia" w:ascii="仿宋_GB2312" w:hAnsi="仿宋_GB2312" w:eastAsia="仿宋_GB2312"/>
          <w:kern w:val="0"/>
          <w:sz w:val="32"/>
          <w:szCs w:val="32"/>
          <w:lang w:eastAsia="zh-CN"/>
        </w:rPr>
        <w:t>，</w:t>
      </w:r>
      <w:r>
        <w:rPr>
          <w:rFonts w:ascii="仿宋_GB2312" w:hAnsi="仿宋_GB2312" w:eastAsia="仿宋_GB2312"/>
          <w:sz w:val="32"/>
          <w:szCs w:val="32"/>
        </w:rPr>
        <w:t>未尽事宜参照学校研究生奖学金评定相关文件执行。</w:t>
      </w:r>
    </w:p>
    <w:p>
      <w:pPr>
        <w:adjustRightInd w:val="0"/>
        <w:snapToGrid w:val="0"/>
        <w:spacing w:line="544" w:lineRule="exact"/>
        <w:rPr>
          <w:rFonts w:ascii="仿宋_GB2312" w:hAnsi="仿宋_GB2312" w:eastAsia="仿宋_GB2312" w:cs="Arial"/>
          <w:kern w:val="0"/>
          <w:sz w:val="32"/>
          <w:szCs w:val="32"/>
        </w:rPr>
      </w:pPr>
    </w:p>
    <w:p>
      <w:pPr>
        <w:spacing w:line="560" w:lineRule="exact"/>
        <w:rPr>
          <w:rFonts w:ascii="宋体" w:hAnsi="宋体" w:cs="Arial"/>
          <w:kern w:val="0"/>
          <w:sz w:val="24"/>
        </w:rPr>
      </w:pPr>
    </w:p>
    <w:p>
      <w:pPr>
        <w:spacing w:line="560" w:lineRule="exact"/>
        <w:ind w:right="720"/>
        <w:jc w:val="right"/>
        <w:rPr>
          <w:rFonts w:ascii="宋体" w:hAnsi="宋体" w:cs="Arial"/>
          <w:kern w:val="0"/>
          <w:sz w:val="24"/>
        </w:rPr>
      </w:pPr>
    </w:p>
    <w:p>
      <w:pPr>
        <w:rPr>
          <w:rFonts w:ascii="宋体" w:hAnsi="宋体"/>
        </w:rPr>
      </w:pPr>
    </w:p>
    <w:sectPr>
      <w:pgSz w:w="11906" w:h="16838"/>
      <w:pgMar w:top="2098" w:right="1361" w:bottom="2041" w:left="136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altName w:val="微软雅黑"/>
    <w:panose1 w:val="03000509000000000000"/>
    <w:charset w:val="86"/>
    <w:family w:val="script"/>
    <w:pitch w:val="default"/>
    <w:sig w:usb0="00000000" w:usb1="00000000" w:usb2="00000010" w:usb3="00000000" w:csb0="00040001" w:csb1="00000000"/>
  </w:font>
  <w:font w:name="仿宋_GB2312">
    <w:altName w:val="仿宋"/>
    <w:panose1 w:val="02010609030101010101"/>
    <w:charset w:val="86"/>
    <w:family w:val="modern"/>
    <w:pitch w:val="default"/>
    <w:sig w:usb0="00000000" w:usb1="00000000" w:usb2="00000010"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YyNDk2ZTAzMDU0ZDI2ZThiNDM4OGViNzI3NTBhNDYifQ=="/>
  </w:docVars>
  <w:rsids>
    <w:rsidRoot w:val="00F10EFF"/>
    <w:rsid w:val="000250F7"/>
    <w:rsid w:val="00025A28"/>
    <w:rsid w:val="00051935"/>
    <w:rsid w:val="00074488"/>
    <w:rsid w:val="00077937"/>
    <w:rsid w:val="00093F76"/>
    <w:rsid w:val="000B4776"/>
    <w:rsid w:val="000B4DBB"/>
    <w:rsid w:val="00170E62"/>
    <w:rsid w:val="00171A54"/>
    <w:rsid w:val="001A05CE"/>
    <w:rsid w:val="001C2844"/>
    <w:rsid w:val="001E3895"/>
    <w:rsid w:val="00203590"/>
    <w:rsid w:val="00204F15"/>
    <w:rsid w:val="00206931"/>
    <w:rsid w:val="00211EDD"/>
    <w:rsid w:val="00213DC2"/>
    <w:rsid w:val="00222DEB"/>
    <w:rsid w:val="00240A9D"/>
    <w:rsid w:val="002427A8"/>
    <w:rsid w:val="0025654A"/>
    <w:rsid w:val="00263C1A"/>
    <w:rsid w:val="00281E8D"/>
    <w:rsid w:val="002A7906"/>
    <w:rsid w:val="002C6866"/>
    <w:rsid w:val="002D0838"/>
    <w:rsid w:val="002D6BEA"/>
    <w:rsid w:val="002E2DAB"/>
    <w:rsid w:val="002E5996"/>
    <w:rsid w:val="002F41BA"/>
    <w:rsid w:val="002F4404"/>
    <w:rsid w:val="00324B24"/>
    <w:rsid w:val="00365F2E"/>
    <w:rsid w:val="003733BB"/>
    <w:rsid w:val="003745FC"/>
    <w:rsid w:val="003957C9"/>
    <w:rsid w:val="003C7C0F"/>
    <w:rsid w:val="003E1EAC"/>
    <w:rsid w:val="003F34D0"/>
    <w:rsid w:val="003F3671"/>
    <w:rsid w:val="00402AA8"/>
    <w:rsid w:val="00403DBD"/>
    <w:rsid w:val="00406487"/>
    <w:rsid w:val="004171AD"/>
    <w:rsid w:val="0042293E"/>
    <w:rsid w:val="00456FA4"/>
    <w:rsid w:val="00463C76"/>
    <w:rsid w:val="004650B5"/>
    <w:rsid w:val="00481873"/>
    <w:rsid w:val="004B34D7"/>
    <w:rsid w:val="004C109C"/>
    <w:rsid w:val="004F249A"/>
    <w:rsid w:val="005045F2"/>
    <w:rsid w:val="005722FB"/>
    <w:rsid w:val="00572D62"/>
    <w:rsid w:val="00585102"/>
    <w:rsid w:val="00596E54"/>
    <w:rsid w:val="0059712F"/>
    <w:rsid w:val="005B4C50"/>
    <w:rsid w:val="005B7117"/>
    <w:rsid w:val="005C7BA9"/>
    <w:rsid w:val="005D472D"/>
    <w:rsid w:val="005D5766"/>
    <w:rsid w:val="005E1881"/>
    <w:rsid w:val="005F688B"/>
    <w:rsid w:val="005F7BD2"/>
    <w:rsid w:val="00673DB2"/>
    <w:rsid w:val="006820B7"/>
    <w:rsid w:val="00684E25"/>
    <w:rsid w:val="00695EB5"/>
    <w:rsid w:val="006B3E27"/>
    <w:rsid w:val="006B4751"/>
    <w:rsid w:val="006B4EBA"/>
    <w:rsid w:val="006B5EB5"/>
    <w:rsid w:val="006D0AD7"/>
    <w:rsid w:val="006D13BD"/>
    <w:rsid w:val="0073493F"/>
    <w:rsid w:val="00746019"/>
    <w:rsid w:val="007562DF"/>
    <w:rsid w:val="007C2447"/>
    <w:rsid w:val="007C2877"/>
    <w:rsid w:val="007C5647"/>
    <w:rsid w:val="007E5BC2"/>
    <w:rsid w:val="007F0BB4"/>
    <w:rsid w:val="007F2C61"/>
    <w:rsid w:val="007F4E63"/>
    <w:rsid w:val="00805EB8"/>
    <w:rsid w:val="00807A8F"/>
    <w:rsid w:val="00812544"/>
    <w:rsid w:val="00824FD2"/>
    <w:rsid w:val="0085427C"/>
    <w:rsid w:val="00860C07"/>
    <w:rsid w:val="008622BA"/>
    <w:rsid w:val="00862C25"/>
    <w:rsid w:val="00884581"/>
    <w:rsid w:val="00891964"/>
    <w:rsid w:val="008B0DA4"/>
    <w:rsid w:val="008B422F"/>
    <w:rsid w:val="008B562B"/>
    <w:rsid w:val="008C502F"/>
    <w:rsid w:val="008D17BF"/>
    <w:rsid w:val="00902D14"/>
    <w:rsid w:val="00915F22"/>
    <w:rsid w:val="0091731A"/>
    <w:rsid w:val="009354C8"/>
    <w:rsid w:val="0096506A"/>
    <w:rsid w:val="009746E8"/>
    <w:rsid w:val="009758FE"/>
    <w:rsid w:val="0099206A"/>
    <w:rsid w:val="009B15A3"/>
    <w:rsid w:val="009D4DC0"/>
    <w:rsid w:val="009D54B1"/>
    <w:rsid w:val="009F0340"/>
    <w:rsid w:val="009F684D"/>
    <w:rsid w:val="00A168C3"/>
    <w:rsid w:val="00A37364"/>
    <w:rsid w:val="00A773D4"/>
    <w:rsid w:val="00A9203B"/>
    <w:rsid w:val="00AC1F6C"/>
    <w:rsid w:val="00AC7A51"/>
    <w:rsid w:val="00AE7B11"/>
    <w:rsid w:val="00B0054D"/>
    <w:rsid w:val="00B0411B"/>
    <w:rsid w:val="00B425D0"/>
    <w:rsid w:val="00B73F12"/>
    <w:rsid w:val="00B743E1"/>
    <w:rsid w:val="00B772C9"/>
    <w:rsid w:val="00B774C4"/>
    <w:rsid w:val="00B8447F"/>
    <w:rsid w:val="00B8742F"/>
    <w:rsid w:val="00B94032"/>
    <w:rsid w:val="00BB6B3A"/>
    <w:rsid w:val="00BC7EC2"/>
    <w:rsid w:val="00BE4EBB"/>
    <w:rsid w:val="00C14F74"/>
    <w:rsid w:val="00C25BDD"/>
    <w:rsid w:val="00C336A9"/>
    <w:rsid w:val="00C54782"/>
    <w:rsid w:val="00C5646A"/>
    <w:rsid w:val="00C6011A"/>
    <w:rsid w:val="00C71187"/>
    <w:rsid w:val="00C7172A"/>
    <w:rsid w:val="00C77036"/>
    <w:rsid w:val="00C8091A"/>
    <w:rsid w:val="00C95576"/>
    <w:rsid w:val="00CA1240"/>
    <w:rsid w:val="00CB56B3"/>
    <w:rsid w:val="00CE1FF1"/>
    <w:rsid w:val="00CE67F0"/>
    <w:rsid w:val="00D012B3"/>
    <w:rsid w:val="00D07E7B"/>
    <w:rsid w:val="00D12963"/>
    <w:rsid w:val="00D227BF"/>
    <w:rsid w:val="00D248CF"/>
    <w:rsid w:val="00D609CA"/>
    <w:rsid w:val="00D61B01"/>
    <w:rsid w:val="00D6214C"/>
    <w:rsid w:val="00D70014"/>
    <w:rsid w:val="00D764DC"/>
    <w:rsid w:val="00D8548F"/>
    <w:rsid w:val="00D861EB"/>
    <w:rsid w:val="00D932EC"/>
    <w:rsid w:val="00DA1354"/>
    <w:rsid w:val="00DA3EBA"/>
    <w:rsid w:val="00DC1285"/>
    <w:rsid w:val="00DD1DC1"/>
    <w:rsid w:val="00DE001D"/>
    <w:rsid w:val="00E42DF6"/>
    <w:rsid w:val="00E6269D"/>
    <w:rsid w:val="00E76CE7"/>
    <w:rsid w:val="00E92167"/>
    <w:rsid w:val="00EA5A18"/>
    <w:rsid w:val="00EB41AF"/>
    <w:rsid w:val="00ED0990"/>
    <w:rsid w:val="00EE12DE"/>
    <w:rsid w:val="00EE7823"/>
    <w:rsid w:val="00F04748"/>
    <w:rsid w:val="00F061DD"/>
    <w:rsid w:val="00F06887"/>
    <w:rsid w:val="00F10EFF"/>
    <w:rsid w:val="00F11413"/>
    <w:rsid w:val="00F13F69"/>
    <w:rsid w:val="00F17777"/>
    <w:rsid w:val="00F34AB4"/>
    <w:rsid w:val="00F36A1B"/>
    <w:rsid w:val="00F437DE"/>
    <w:rsid w:val="00F43841"/>
    <w:rsid w:val="00F44D7E"/>
    <w:rsid w:val="00F45AC6"/>
    <w:rsid w:val="00F46734"/>
    <w:rsid w:val="00F6797E"/>
    <w:rsid w:val="00F7111E"/>
    <w:rsid w:val="00F866DD"/>
    <w:rsid w:val="00FB2503"/>
    <w:rsid w:val="00FB48CD"/>
    <w:rsid w:val="00FC6EAA"/>
    <w:rsid w:val="15B31667"/>
    <w:rsid w:val="27DC23AD"/>
    <w:rsid w:val="30977539"/>
    <w:rsid w:val="47020E4E"/>
    <w:rsid w:val="56FF5614"/>
    <w:rsid w:val="5CEB0A1B"/>
    <w:rsid w:val="6BC625EF"/>
    <w:rsid w:val="7E2650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9"/>
    <w:qFormat/>
    <w:uiPriority w:val="9"/>
    <w:pPr>
      <w:widowControl/>
      <w:spacing w:before="100" w:beforeAutospacing="1" w:after="100" w:afterAutospacing="1"/>
      <w:jc w:val="left"/>
      <w:outlineLvl w:val="0"/>
    </w:pPr>
    <w:rPr>
      <w:rFonts w:ascii="宋体" w:hAnsi="宋体" w:cs="宋体"/>
      <w:b/>
      <w:bCs/>
      <w:kern w:val="36"/>
      <w:sz w:val="48"/>
      <w:szCs w:val="4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5"/>
    <w:semiHidden/>
    <w:unhideWhenUsed/>
    <w:qFormat/>
    <w:uiPriority w:val="99"/>
    <w:pPr>
      <w:jc w:val="left"/>
    </w:pPr>
  </w:style>
  <w:style w:type="paragraph" w:styleId="4">
    <w:name w:val="Balloon Text"/>
    <w:basedOn w:val="1"/>
    <w:link w:val="17"/>
    <w:semiHidden/>
    <w:unhideWhenUsed/>
    <w:qFormat/>
    <w:uiPriority w:val="99"/>
    <w:rPr>
      <w:rFonts w:ascii="宋体"/>
      <w:sz w:val="18"/>
      <w:szCs w:val="18"/>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16"/>
    <w:semiHidden/>
    <w:unhideWhenUsed/>
    <w:qFormat/>
    <w:uiPriority w:val="99"/>
    <w:rPr>
      <w:b/>
      <w:bCs/>
    </w:rPr>
  </w:style>
  <w:style w:type="character" w:styleId="10">
    <w:name w:val="Strong"/>
    <w:basedOn w:val="9"/>
    <w:qFormat/>
    <w:uiPriority w:val="22"/>
    <w:rPr>
      <w:b/>
      <w:bCs/>
    </w:rPr>
  </w:style>
  <w:style w:type="character" w:styleId="11">
    <w:name w:val="annotation reference"/>
    <w:basedOn w:val="9"/>
    <w:semiHidden/>
    <w:unhideWhenUsed/>
    <w:qFormat/>
    <w:uiPriority w:val="99"/>
    <w:rPr>
      <w:sz w:val="21"/>
      <w:szCs w:val="21"/>
    </w:rPr>
  </w:style>
  <w:style w:type="character" w:customStyle="1" w:styleId="12">
    <w:name w:val="页眉 字符"/>
    <w:basedOn w:val="9"/>
    <w:link w:val="6"/>
    <w:qFormat/>
    <w:uiPriority w:val="99"/>
    <w:rPr>
      <w:rFonts w:ascii="Times New Roman" w:hAnsi="Times New Roman" w:eastAsia="宋体" w:cs="Times New Roman"/>
      <w:sz w:val="18"/>
      <w:szCs w:val="18"/>
    </w:rPr>
  </w:style>
  <w:style w:type="character" w:customStyle="1" w:styleId="13">
    <w:name w:val="页脚 字符"/>
    <w:basedOn w:val="9"/>
    <w:link w:val="5"/>
    <w:qFormat/>
    <w:uiPriority w:val="99"/>
    <w:rPr>
      <w:rFonts w:ascii="Times New Roman" w:hAnsi="Times New Roman" w:eastAsia="宋体" w:cs="Times New Roman"/>
      <w:sz w:val="18"/>
      <w:szCs w:val="18"/>
    </w:rPr>
  </w:style>
  <w:style w:type="paragraph" w:styleId="14">
    <w:name w:val="List Paragraph"/>
    <w:basedOn w:val="1"/>
    <w:qFormat/>
    <w:uiPriority w:val="34"/>
    <w:pPr>
      <w:ind w:firstLine="420" w:firstLineChars="200"/>
    </w:pPr>
  </w:style>
  <w:style w:type="character" w:customStyle="1" w:styleId="15">
    <w:name w:val="批注文字 字符"/>
    <w:basedOn w:val="9"/>
    <w:link w:val="3"/>
    <w:semiHidden/>
    <w:qFormat/>
    <w:uiPriority w:val="99"/>
    <w:rPr>
      <w:rFonts w:ascii="Times New Roman" w:hAnsi="Times New Roman" w:eastAsia="宋体" w:cs="Times New Roman"/>
      <w:sz w:val="21"/>
    </w:rPr>
  </w:style>
  <w:style w:type="character" w:customStyle="1" w:styleId="16">
    <w:name w:val="批注主题 字符"/>
    <w:basedOn w:val="15"/>
    <w:link w:val="7"/>
    <w:semiHidden/>
    <w:qFormat/>
    <w:uiPriority w:val="99"/>
    <w:rPr>
      <w:rFonts w:ascii="Times New Roman" w:hAnsi="Times New Roman" w:eastAsia="宋体" w:cs="Times New Roman"/>
      <w:b/>
      <w:bCs/>
      <w:sz w:val="21"/>
    </w:rPr>
  </w:style>
  <w:style w:type="character" w:customStyle="1" w:styleId="17">
    <w:name w:val="批注框文本 字符"/>
    <w:basedOn w:val="9"/>
    <w:link w:val="4"/>
    <w:semiHidden/>
    <w:qFormat/>
    <w:uiPriority w:val="99"/>
    <w:rPr>
      <w:rFonts w:ascii="宋体" w:hAnsi="Times New Roman" w:eastAsia="宋体" w:cs="Times New Roman"/>
      <w:sz w:val="18"/>
      <w:szCs w:val="18"/>
    </w:rPr>
  </w:style>
  <w:style w:type="paragraph" w:customStyle="1" w:styleId="18">
    <w:name w:val="Revision"/>
    <w:hidden/>
    <w:semiHidden/>
    <w:qFormat/>
    <w:uiPriority w:val="99"/>
    <w:rPr>
      <w:rFonts w:ascii="Times New Roman" w:hAnsi="Times New Roman" w:eastAsia="宋体" w:cs="Times New Roman"/>
      <w:kern w:val="2"/>
      <w:sz w:val="21"/>
      <w:szCs w:val="24"/>
      <w:lang w:val="en-US" w:eastAsia="zh-CN" w:bidi="ar-SA"/>
    </w:rPr>
  </w:style>
  <w:style w:type="character" w:customStyle="1" w:styleId="19">
    <w:name w:val="标题 1 字符"/>
    <w:basedOn w:val="9"/>
    <w:link w:val="2"/>
    <w:qFormat/>
    <w:uiPriority w:val="9"/>
    <w:rPr>
      <w:rFonts w:ascii="宋体" w:hAnsi="宋体" w:eastAsia="宋体" w:cs="宋体"/>
      <w:b/>
      <w:bCs/>
      <w:kern w:val="36"/>
      <w:sz w:val="48"/>
      <w:szCs w:val="4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DengXian Light"/>
        <a:ea typeface=""/>
        <a:cs typeface=""/>
        <a:font script="Jpan" typeface="ＭＳ ゴシック"/>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
        <a:cs typeface=""/>
        <a:font script="Jpan" typeface="ＭＳ 明朝"/>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标题排序"/>
</file>

<file path=customXml/itemProps1.xml><?xml version="1.0" encoding="utf-8"?>
<ds:datastoreItem xmlns:ds="http://schemas.openxmlformats.org/officeDocument/2006/customXml" ds:itemID="{CA3F2B20-48FF-B84D-9930-4FEF4817F068}">
  <ds:schemaRefs/>
</ds:datastoreItem>
</file>

<file path=docProps/app.xml><?xml version="1.0" encoding="utf-8"?>
<Properties xmlns="http://schemas.openxmlformats.org/officeDocument/2006/extended-properties" xmlns:vt="http://schemas.openxmlformats.org/officeDocument/2006/docPropsVTypes">
  <Template>Normal.dotm</Template>
  <Pages>7</Pages>
  <Words>3075</Words>
  <Characters>3122</Characters>
  <Lines>22</Lines>
  <Paragraphs>6</Paragraphs>
  <TotalTime>1</TotalTime>
  <ScaleCrop>false</ScaleCrop>
  <LinksUpToDate>false</LinksUpToDate>
  <CharactersWithSpaces>3138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2021-08-01T16:44:00Z</dcterms:created>
  <dc:creator>huang sj</dc:creator>
  <cp:lastModifiedBy>聂菁</cp:lastModifiedBy>
  <dcterms:modified xsi:type="dcterms:W3CDTF">2023-09-11T08:39:12Z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C04970B01B3F4950805BA1FD8FEAE809_13</vt:lpwstr>
  </property>
</Properties>
</file>